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                                                  </w:t>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wp:posOffset>
            </wp:positionV>
            <wp:extent cx="2066925" cy="695325"/>
            <wp:effectExtent b="0" l="0" r="0" t="0"/>
            <wp:wrapSquare wrapText="bothSides" distB="0" distT="0" distL="0" distR="0"/>
            <wp:docPr descr="Lane Logo 98 copy.tif" id="1" name="image1.png"/>
            <a:graphic>
              <a:graphicData uri="http://schemas.openxmlformats.org/drawingml/2006/picture">
                <pic:pic>
                  <pic:nvPicPr>
                    <pic:cNvPr descr="Lane Logo 98 copy.tif" id="0" name="image1.png"/>
                    <pic:cNvPicPr preferRelativeResize="0"/>
                  </pic:nvPicPr>
                  <pic:blipFill>
                    <a:blip r:embed="rId6"/>
                    <a:srcRect b="0" l="0" r="0" t="0"/>
                    <a:stretch>
                      <a:fillRect/>
                    </a:stretch>
                  </pic:blipFill>
                  <pic:spPr>
                    <a:xfrm>
                      <a:off x="0" y="0"/>
                      <a:ext cx="2066925" cy="695325"/>
                    </a:xfrm>
                    <a:prstGeom prst="rect"/>
                    <a:ln/>
                  </pic:spPr>
                </pic:pic>
              </a:graphicData>
            </a:graphic>
          </wp:anchor>
        </w:drawing>
      </w:r>
    </w:p>
    <w:p w:rsidR="00000000" w:rsidDel="00000000" w:rsidP="00000000" w:rsidRDefault="00000000" w:rsidRPr="00000000" w14:paraId="00000002">
      <w:pPr>
        <w:ind w:left="4320" w:firstLine="720"/>
        <w:jc w:val="left"/>
        <w:rPr>
          <w:rFonts w:ascii="Calibri" w:cs="Calibri" w:eastAsia="Calibri" w:hAnsi="Calibri"/>
          <w:b w:val="1"/>
          <w:color w:val="ff0000"/>
          <w:sz w:val="32"/>
          <w:szCs w:val="32"/>
        </w:rPr>
      </w:pPr>
      <w:r w:rsidDel="00000000" w:rsidR="00000000" w:rsidRPr="00000000">
        <w:rPr>
          <w:rFonts w:ascii="Calibri" w:cs="Calibri" w:eastAsia="Calibri" w:hAnsi="Calibri"/>
          <w:b w:val="1"/>
          <w:sz w:val="32"/>
          <w:szCs w:val="32"/>
          <w:rtl w:val="0"/>
        </w:rPr>
        <w:t xml:space="preserve">Facilities Council Meeting Minutes </w:t>
      </w:r>
      <w:r w:rsidDel="00000000" w:rsidR="00000000" w:rsidRPr="00000000">
        <w:rPr>
          <w:rtl w:val="0"/>
        </w:rPr>
      </w:r>
    </w:p>
    <w:p w:rsidR="00000000" w:rsidDel="00000000" w:rsidP="00000000" w:rsidRDefault="00000000" w:rsidRPr="00000000" w14:paraId="00000003">
      <w:pP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04">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color w:val="000000"/>
        </w:rPr>
      </w:pPr>
      <w:r w:rsidDel="00000000" w:rsidR="00000000" w:rsidRPr="00000000">
        <w:rPr>
          <w:rFonts w:ascii="Calibri" w:cs="Calibri" w:eastAsia="Calibri" w:hAnsi="Calibri"/>
          <w:rtl w:val="0"/>
        </w:rPr>
        <w:t xml:space="preserve">May 28</w:t>
      </w:r>
      <w:r w:rsidDel="00000000" w:rsidR="00000000" w:rsidRPr="00000000">
        <w:rPr>
          <w:rFonts w:ascii="Calibri" w:cs="Calibri" w:eastAsia="Calibri" w:hAnsi="Calibri"/>
          <w:color w:val="000000"/>
          <w:rtl w:val="0"/>
        </w:rPr>
        <w:t xml:space="preserve">, 201</w:t>
      </w:r>
      <w:r w:rsidDel="00000000" w:rsidR="00000000" w:rsidRPr="00000000">
        <w:rPr>
          <w:rFonts w:ascii="Calibri" w:cs="Calibri" w:eastAsia="Calibri" w:hAnsi="Calibri"/>
          <w:rtl w:val="0"/>
        </w:rPr>
        <w:t xml:space="preserve">9</w:t>
      </w:r>
      <w:r w:rsidDel="00000000" w:rsidR="00000000" w:rsidRPr="00000000">
        <w:rPr>
          <w:rtl w:val="0"/>
        </w:rPr>
      </w:r>
    </w:p>
    <w:p w:rsidR="00000000" w:rsidDel="00000000" w:rsidP="00000000" w:rsidRDefault="00000000" w:rsidRPr="00000000" w14:paraId="00000006">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2:30 to 4:30pm</w:t>
      </w:r>
    </w:p>
    <w:p w:rsidR="00000000" w:rsidDel="00000000" w:rsidP="00000000" w:rsidRDefault="00000000" w:rsidRPr="00000000" w14:paraId="00000007">
      <w:pPr>
        <w:jc w:val="center"/>
        <w:rPr>
          <w:rFonts w:ascii="Calibri" w:cs="Calibri" w:eastAsia="Calibri" w:hAnsi="Calibri"/>
        </w:rPr>
      </w:pPr>
      <w:r w:rsidDel="00000000" w:rsidR="00000000" w:rsidRPr="00000000">
        <w:rPr>
          <w:rFonts w:ascii="Calibri" w:cs="Calibri" w:eastAsia="Calibri" w:hAnsi="Calibri"/>
          <w:rtl w:val="0"/>
        </w:rPr>
        <w:t xml:space="preserve">Bldg. LCC 07/212K</w:t>
      </w:r>
    </w:p>
    <w:p w:rsidR="00000000" w:rsidDel="00000000" w:rsidP="00000000" w:rsidRDefault="00000000" w:rsidRPr="00000000" w14:paraId="0000000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9">
      <w:pPr>
        <w:ind w:left="1440" w:hanging="1440"/>
        <w:rPr>
          <w:rFonts w:ascii="Calibri" w:cs="Calibri" w:eastAsia="Calibri" w:hAnsi="Calibri"/>
        </w:rPr>
      </w:pPr>
      <w:r w:rsidDel="00000000" w:rsidR="00000000" w:rsidRPr="00000000">
        <w:rPr>
          <w:rFonts w:ascii="Calibri" w:cs="Calibri" w:eastAsia="Calibri" w:hAnsi="Calibri"/>
          <w:b w:val="1"/>
          <w:rtl w:val="0"/>
        </w:rPr>
        <w:t xml:space="preserve">Attendees:</w:t>
      </w:r>
      <w:r w:rsidDel="00000000" w:rsidR="00000000" w:rsidRPr="00000000">
        <w:rPr>
          <w:rFonts w:ascii="Calibri" w:cs="Calibri" w:eastAsia="Calibri" w:hAnsi="Calibri"/>
          <w:rtl w:val="0"/>
        </w:rPr>
        <w:t xml:space="preserve"> </w:t>
        <w:tab/>
        <w:t xml:space="preserve">Jennifer Hayward, Brian Kelly, Mike Sims, Alen Bahret, Mike Sims, Robin Geyer, Craig Taylor, Luis Maggiori, Andy Salzman</w:t>
      </w:r>
    </w:p>
    <w:p w:rsidR="00000000" w:rsidDel="00000000" w:rsidP="00000000" w:rsidRDefault="00000000" w:rsidRPr="00000000" w14:paraId="0000000A">
      <w:pPr>
        <w:rPr>
          <w:rFonts w:ascii="Calibri" w:cs="Calibri" w:eastAsia="Calibri" w:hAnsi="Calibri"/>
          <w:b w:val="1"/>
        </w:rPr>
      </w:pPr>
      <w:bookmarkStart w:colFirst="0" w:colLast="0" w:name="_gjdgxs" w:id="0"/>
      <w:bookmarkEnd w:id="0"/>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b w:val="1"/>
          <w:rtl w:val="0"/>
        </w:rPr>
        <w:t xml:space="preserve">Recorder: </w:t>
        <w:tab/>
      </w:r>
      <w:r w:rsidDel="00000000" w:rsidR="00000000" w:rsidRPr="00000000">
        <w:rPr>
          <w:rFonts w:ascii="Calibri" w:cs="Calibri" w:eastAsia="Calibri" w:hAnsi="Calibri"/>
          <w:rtl w:val="0"/>
        </w:rPr>
        <w:t xml:space="preserve">Deborah Butler</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Guests:</w:t>
      </w:r>
      <w:r w:rsidDel="00000000" w:rsidR="00000000" w:rsidRPr="00000000">
        <w:rPr>
          <w:rFonts w:ascii="Calibri" w:cs="Calibri" w:eastAsia="Calibri" w:hAnsi="Calibri"/>
          <w:b w:val="1"/>
          <w:sz w:val="22"/>
          <w:szCs w:val="22"/>
          <w:rtl w:val="0"/>
        </w:rPr>
        <w:tab/>
        <w:tab/>
      </w:r>
      <w:r w:rsidDel="00000000" w:rsidR="00000000" w:rsidRPr="00000000">
        <w:rPr>
          <w:rFonts w:ascii="Arial" w:cs="Arial" w:eastAsia="Arial" w:hAnsi="Arial"/>
          <w:sz w:val="22"/>
          <w:szCs w:val="22"/>
          <w:rtl w:val="0"/>
        </w:rPr>
        <w:t xml:space="preserve">Lorri Nelson, Rowell Brokaw </w:t>
      </w:r>
    </w:p>
    <w:p w:rsidR="00000000" w:rsidDel="00000000" w:rsidP="00000000" w:rsidRDefault="00000000" w:rsidRPr="00000000" w14:paraId="0000000E">
      <w:pPr>
        <w:widowControl w:val="0"/>
        <w:spacing w:line="276" w:lineRule="auto"/>
        <w:ind w:left="990" w:right="-180" w:firstLine="450"/>
        <w:rPr>
          <w:rFonts w:ascii="Arial" w:cs="Arial" w:eastAsia="Arial" w:hAnsi="Arial"/>
          <w:sz w:val="22"/>
          <w:szCs w:val="22"/>
        </w:rPr>
      </w:pPr>
      <w:r w:rsidDel="00000000" w:rsidR="00000000" w:rsidRPr="00000000">
        <w:rPr>
          <w:rFonts w:ascii="Arial" w:cs="Arial" w:eastAsia="Arial" w:hAnsi="Arial"/>
          <w:sz w:val="22"/>
          <w:szCs w:val="22"/>
          <w:rtl w:val="0"/>
        </w:rPr>
        <w:t xml:space="preserve">Chris Ramey, CRC Consulting</w:t>
      </w:r>
    </w:p>
    <w:p w:rsidR="00000000" w:rsidDel="00000000" w:rsidP="00000000" w:rsidRDefault="00000000" w:rsidRPr="00000000" w14:paraId="0000000F">
      <w:pPr>
        <w:widowControl w:val="0"/>
        <w:spacing w:line="276" w:lineRule="auto"/>
        <w:ind w:left="990" w:right="-180" w:firstLine="450"/>
        <w:rPr>
          <w:rFonts w:ascii="Arial" w:cs="Arial" w:eastAsia="Arial" w:hAnsi="Arial"/>
          <w:sz w:val="22"/>
          <w:szCs w:val="22"/>
        </w:rPr>
      </w:pPr>
      <w:r w:rsidDel="00000000" w:rsidR="00000000" w:rsidRPr="00000000">
        <w:rPr>
          <w:rFonts w:ascii="Arial" w:cs="Arial" w:eastAsia="Arial" w:hAnsi="Arial"/>
          <w:sz w:val="22"/>
          <w:szCs w:val="22"/>
          <w:rtl w:val="0"/>
        </w:rPr>
        <w:t xml:space="preserve">Mark Young, Rowell Brokaw</w:t>
      </w:r>
    </w:p>
    <w:p w:rsidR="00000000" w:rsidDel="00000000" w:rsidP="00000000" w:rsidRDefault="00000000" w:rsidRPr="00000000" w14:paraId="00000010">
      <w:pPr>
        <w:widowControl w:val="0"/>
        <w:spacing w:line="276" w:lineRule="auto"/>
        <w:ind w:left="990" w:right="-180" w:firstLine="450"/>
        <w:rPr>
          <w:rFonts w:ascii="Arial" w:cs="Arial" w:eastAsia="Arial" w:hAnsi="Arial"/>
          <w:sz w:val="22"/>
          <w:szCs w:val="22"/>
        </w:rPr>
      </w:pPr>
      <w:r w:rsidDel="00000000" w:rsidR="00000000" w:rsidRPr="00000000">
        <w:rPr>
          <w:rFonts w:ascii="Arial" w:cs="Arial" w:eastAsia="Arial" w:hAnsi="Arial"/>
          <w:sz w:val="22"/>
          <w:szCs w:val="22"/>
          <w:rtl w:val="0"/>
        </w:rPr>
        <w:t xml:space="preserve">Shirley, student intern at Rowell Brokaw</w:t>
      </w:r>
    </w:p>
    <w:p w:rsidR="00000000" w:rsidDel="00000000" w:rsidP="00000000" w:rsidRDefault="00000000" w:rsidRPr="00000000" w14:paraId="00000011">
      <w:pPr>
        <w:widowControl w:val="0"/>
        <w:spacing w:line="276" w:lineRule="auto"/>
        <w:ind w:left="990" w:right="-180" w:firstLine="450"/>
        <w:rPr>
          <w:rFonts w:ascii="Calibri" w:cs="Calibri" w:eastAsia="Calibri" w:hAnsi="Calibri"/>
          <w:sz w:val="22"/>
          <w:szCs w:val="22"/>
        </w:rPr>
      </w:pPr>
      <w:r w:rsidDel="00000000" w:rsidR="00000000" w:rsidRPr="00000000">
        <w:rPr>
          <w:rFonts w:ascii="Arial" w:cs="Arial" w:eastAsia="Arial" w:hAnsi="Arial"/>
          <w:sz w:val="22"/>
          <w:szCs w:val="22"/>
          <w:rtl w:val="0"/>
        </w:rPr>
        <w:t xml:space="preserve">Troy Hansen, FMP</w:t>
      </w:r>
      <w:r w:rsidDel="00000000" w:rsidR="00000000" w:rsidRPr="00000000">
        <w:rPr>
          <w:rtl w:val="0"/>
        </w:rPr>
      </w:r>
    </w:p>
    <w:p w:rsidR="00000000" w:rsidDel="00000000" w:rsidP="00000000" w:rsidRDefault="00000000" w:rsidRPr="00000000" w14:paraId="00000012">
      <w:pPr>
        <w:rPr>
          <w:rFonts w:ascii="Calibri" w:cs="Calibri" w:eastAsia="Calibri" w:hAnsi="Calibri"/>
          <w:color w:val="0000ff"/>
        </w:rPr>
      </w:pPr>
      <w:r w:rsidDel="00000000" w:rsidR="00000000" w:rsidRPr="00000000">
        <w:rPr>
          <w:rtl w:val="0"/>
        </w:rPr>
      </w:r>
    </w:p>
    <w:tbl>
      <w:tblPr>
        <w:tblStyle w:val="Table1"/>
        <w:tblW w:w="14130.0" w:type="dxa"/>
        <w:jc w:val="left"/>
        <w:tblInd w:w="2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77"/>
        <w:gridCol w:w="11453"/>
        <w:tblGridChange w:id="0">
          <w:tblGrid>
            <w:gridCol w:w="2677"/>
            <w:gridCol w:w="11453"/>
          </w:tblGrid>
        </w:tblGridChange>
      </w:tblGrid>
      <w:tr>
        <w:trPr>
          <w:trHeight w:val="520" w:hRule="atLeast"/>
        </w:trPr>
        <w:tc>
          <w:tcPr>
            <w:vAlign w:val="center"/>
          </w:tcPr>
          <w:p w:rsidR="00000000" w:rsidDel="00000000" w:rsidP="00000000" w:rsidRDefault="00000000" w:rsidRPr="00000000" w14:paraId="00000013">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Item</w:t>
            </w:r>
          </w:p>
        </w:tc>
        <w:tc>
          <w:tcPr>
            <w:vAlign w:val="center"/>
          </w:tcPr>
          <w:p w:rsidR="00000000" w:rsidDel="00000000" w:rsidP="00000000" w:rsidRDefault="00000000" w:rsidRPr="00000000" w14:paraId="00000014">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Notes</w:t>
            </w:r>
          </w:p>
        </w:tc>
      </w:tr>
      <w:tr>
        <w:trPr>
          <w:trHeight w:val="920" w:hRule="atLeast"/>
        </w:trPr>
        <w:tc>
          <w:tcPr>
            <w:vAlign w:val="center"/>
          </w:tcPr>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Approval of Agenda/</w:t>
              <w:br w:type="textWrapping"/>
              <w:t xml:space="preserve">Additions? </w:t>
            </w:r>
          </w:p>
        </w:tc>
        <w:tc>
          <w:tcPr>
            <w:vAlign w:val="center"/>
          </w:tcPr>
          <w:p w:rsidR="00000000" w:rsidDel="00000000" w:rsidP="00000000" w:rsidRDefault="00000000" w:rsidRPr="00000000" w14:paraId="00000016">
            <w:pPr>
              <w:tabs>
                <w:tab w:val="left" w:pos="2250"/>
              </w:tabs>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7">
            <w:pPr>
              <w:tabs>
                <w:tab w:val="left" w:pos="2250"/>
              </w:tabs>
              <w:rPr>
                <w:rFonts w:ascii="Calibri" w:cs="Calibri" w:eastAsia="Calibri" w:hAnsi="Calibri"/>
              </w:rPr>
            </w:pPr>
            <w:r w:rsidDel="00000000" w:rsidR="00000000" w:rsidRPr="00000000">
              <w:rPr>
                <w:rFonts w:ascii="Calibri" w:cs="Calibri" w:eastAsia="Calibri" w:hAnsi="Calibri"/>
                <w:rtl w:val="0"/>
              </w:rPr>
              <w:t xml:space="preserve">Craig moved to approve 05/14 minutes as written. Mike S. seconded.  Minutes approved. </w:t>
            </w:r>
          </w:p>
          <w:p w:rsidR="00000000" w:rsidDel="00000000" w:rsidP="00000000" w:rsidRDefault="00000000" w:rsidRPr="00000000" w14:paraId="00000018">
            <w:pPr>
              <w:tabs>
                <w:tab w:val="left" w:pos="2250"/>
              </w:tabs>
              <w:rPr>
                <w:rFonts w:ascii="Calibri" w:cs="Calibri" w:eastAsia="Calibri" w:hAnsi="Calibri"/>
              </w:rPr>
            </w:pPr>
            <w:r w:rsidDel="00000000" w:rsidR="00000000" w:rsidRPr="00000000">
              <w:rPr>
                <w:rtl w:val="0"/>
              </w:rPr>
            </w:r>
          </w:p>
        </w:tc>
      </w:tr>
      <w:tr>
        <w:trPr>
          <w:trHeight w:val="1060" w:hRule="atLeast"/>
        </w:trPr>
        <w:tc>
          <w:tcPr>
            <w:vAlign w:val="center"/>
          </w:tcPr>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Announcements</w:t>
            </w:r>
          </w:p>
        </w:tc>
        <w:tc>
          <w:tcPr>
            <w:vAlign w:val="center"/>
          </w:tcPr>
          <w:p w:rsidR="00000000" w:rsidDel="00000000" w:rsidP="00000000" w:rsidRDefault="00000000" w:rsidRPr="00000000" w14:paraId="0000001A">
            <w:pPr>
              <w:tabs>
                <w:tab w:val="left" w:pos="2250"/>
              </w:tabs>
              <w:rPr>
                <w:rFonts w:ascii="Calibri" w:cs="Calibri" w:eastAsia="Calibri" w:hAnsi="Calibri"/>
              </w:rPr>
            </w:pPr>
            <w:r w:rsidDel="00000000" w:rsidR="00000000" w:rsidRPr="00000000">
              <w:rPr>
                <w:rtl w:val="0"/>
              </w:rPr>
            </w:r>
          </w:p>
          <w:p w:rsidR="00000000" w:rsidDel="00000000" w:rsidP="00000000" w:rsidRDefault="00000000" w:rsidRPr="00000000" w14:paraId="0000001B">
            <w:pPr>
              <w:tabs>
                <w:tab w:val="left" w:pos="2250"/>
              </w:tabs>
              <w:rPr>
                <w:rFonts w:ascii="Calibri" w:cs="Calibri" w:eastAsia="Calibri" w:hAnsi="Calibri"/>
              </w:rPr>
            </w:pPr>
            <w:r w:rsidDel="00000000" w:rsidR="00000000" w:rsidRPr="00000000">
              <w:rPr>
                <w:rFonts w:ascii="Calibri" w:cs="Calibri" w:eastAsia="Calibri" w:hAnsi="Calibri"/>
                <w:rtl w:val="0"/>
              </w:rPr>
              <w:t xml:space="preserve">Lane has been certified as a bee-friendly college, one of 70 campuses across the country to earn the award.  </w:t>
            </w:r>
          </w:p>
          <w:p w:rsidR="00000000" w:rsidDel="00000000" w:rsidP="00000000" w:rsidRDefault="00000000" w:rsidRPr="00000000" w14:paraId="0000001C">
            <w:pPr>
              <w:tabs>
                <w:tab w:val="left" w:pos="2250"/>
              </w:tabs>
              <w:rPr>
                <w:rFonts w:ascii="Calibri" w:cs="Calibri" w:eastAsia="Calibri" w:hAnsi="Calibri"/>
              </w:rPr>
            </w:pPr>
            <w:r w:rsidDel="00000000" w:rsidR="00000000" w:rsidRPr="00000000">
              <w:rPr>
                <w:rtl w:val="0"/>
              </w:rPr>
            </w:r>
          </w:p>
          <w:p w:rsidR="00000000" w:rsidDel="00000000" w:rsidP="00000000" w:rsidRDefault="00000000" w:rsidRPr="00000000" w14:paraId="0000001D">
            <w:pPr>
              <w:tabs>
                <w:tab w:val="left" w:pos="2250"/>
              </w:tabs>
              <w:rPr>
                <w:rFonts w:ascii="Calibri" w:cs="Calibri" w:eastAsia="Calibri" w:hAnsi="Calibri"/>
              </w:rPr>
            </w:pPr>
            <w:r w:rsidDel="00000000" w:rsidR="00000000" w:rsidRPr="00000000">
              <w:rPr>
                <w:rFonts w:ascii="Calibri" w:cs="Calibri" w:eastAsia="Calibri" w:hAnsi="Calibri"/>
                <w:rtl w:val="0"/>
              </w:rPr>
              <w:t xml:space="preserve">SUGR will be Wednesday thru Friday, with events and poster displays available for public viewing in Bldg 16.</w:t>
            </w:r>
          </w:p>
          <w:p w:rsidR="00000000" w:rsidDel="00000000" w:rsidP="00000000" w:rsidRDefault="00000000" w:rsidRPr="00000000" w14:paraId="0000001E">
            <w:pPr>
              <w:tabs>
                <w:tab w:val="left" w:pos="2250"/>
              </w:tabs>
              <w:rPr>
                <w:rFonts w:ascii="Calibri" w:cs="Calibri" w:eastAsia="Calibri" w:hAnsi="Calibri"/>
              </w:rPr>
            </w:pPr>
            <w:r w:rsidDel="00000000" w:rsidR="00000000" w:rsidRPr="00000000">
              <w:rPr>
                <w:rtl w:val="0"/>
              </w:rPr>
            </w:r>
          </w:p>
        </w:tc>
      </w:tr>
      <w:tr>
        <w:trPr>
          <w:trHeight w:val="1160" w:hRule="atLeast"/>
        </w:trPr>
        <w:tc>
          <w:tcPr>
            <w:vAlign w:val="center"/>
          </w:tcPr>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 xml:space="preserve">Emergency Planning Team Report</w:t>
            </w:r>
          </w:p>
        </w:tc>
        <w:tc>
          <w:tcPr>
            <w:vAlign w:val="center"/>
          </w:tcPr>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Continuing to engage in tabletop emergency drills, hosted by external parties.  Working on an update to the Red Book, which is an internal resource guide used by team members.  This team meets every other week, and debriefs any emergency response that has occurred since the last meeting.  The debrief “after-action reports” are an important tool used by EPT to examine and debrief emergency events and assess response to make continual improvements. </w:t>
            </w:r>
          </w:p>
          <w:p w:rsidR="00000000" w:rsidDel="00000000" w:rsidP="00000000" w:rsidRDefault="00000000" w:rsidRPr="00000000" w14:paraId="00000022">
            <w:pPr>
              <w:rPr>
                <w:rFonts w:ascii="Calibri" w:cs="Calibri" w:eastAsia="Calibri" w:hAnsi="Calibri"/>
              </w:rPr>
            </w:pPr>
            <w:r w:rsidDel="00000000" w:rsidR="00000000" w:rsidRPr="00000000">
              <w:rPr>
                <w:rtl w:val="0"/>
              </w:rPr>
            </w:r>
          </w:p>
        </w:tc>
      </w:tr>
      <w:tr>
        <w:trPr>
          <w:trHeight w:val="960" w:hRule="atLeast"/>
        </w:trPr>
        <w:tc>
          <w:tcPr>
            <w:vAlign w:val="center"/>
          </w:tcPr>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Governance Review Update </w:t>
            </w:r>
          </w:p>
        </w:tc>
        <w:tc>
          <w:tcPr>
            <w:vAlign w:val="center"/>
          </w:tcPr>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All-campus governance forum took place last week, and Marge and Paul shared a new potential model of governance that would still be based on a council system.  It may be that Facilities Council would become a part of a larger “infrastructure” council.  </w:t>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At the event, Alen spoke on behalf of Facilities Council and explained that the council, as it now sits, processes a great deal of work in cooperation with FMP and College Services.  It is unclear how that work would still be performed if there are fewer meetings, a more generalized focus, and a team of similar size.  It’s possible that there would be a Facilities Committee or Facilities Leadership Team, but we would have to explore how to make that work in terms of employee workload/release time, and how to ensure there is an equitable system that incentivizes employees for participation in this work.  </w:t>
            </w:r>
          </w:p>
          <w:p w:rsidR="00000000" w:rsidDel="00000000" w:rsidP="00000000" w:rsidRDefault="00000000" w:rsidRPr="00000000" w14:paraId="00000028">
            <w:pPr>
              <w:rPr>
                <w:rFonts w:ascii="Calibri" w:cs="Calibri" w:eastAsia="Calibri" w:hAnsi="Calibri"/>
              </w:rPr>
            </w:pPr>
            <w:r w:rsidDel="00000000" w:rsidR="00000000" w:rsidRPr="00000000">
              <w:rPr>
                <w:rtl w:val="0"/>
              </w:rPr>
            </w:r>
          </w:p>
        </w:tc>
      </w:tr>
      <w:tr>
        <w:trPr>
          <w:trHeight w:val="1020" w:hRule="atLeast"/>
        </w:trPr>
        <w:tc>
          <w:tcPr>
            <w:vAlign w:val="center"/>
          </w:tcPr>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 xml:space="preserve">Summer Subcommittee Work </w:t>
            </w:r>
          </w:p>
        </w:tc>
        <w:tc>
          <w:tcPr>
            <w:vAlign w:val="center"/>
          </w:tcPr>
          <w:p w:rsidR="00000000" w:rsidDel="00000000" w:rsidP="00000000" w:rsidRDefault="00000000" w:rsidRPr="00000000" w14:paraId="0000002A">
            <w:pPr>
              <w:rPr>
                <w:rFonts w:ascii="Calibri" w:cs="Calibri" w:eastAsia="Calibri" w:hAnsi="Calibri"/>
              </w:rPr>
            </w:pP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rtl w:val="0"/>
              </w:rPr>
              <w:t xml:space="preserve">2 work groups will continue work over summer: </w:t>
            </w:r>
          </w:p>
          <w:p w:rsidR="00000000" w:rsidDel="00000000" w:rsidP="00000000" w:rsidRDefault="00000000" w:rsidRPr="00000000" w14:paraId="0000002C">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Space Use and Rental work group</w:t>
            </w:r>
          </w:p>
          <w:p w:rsidR="00000000" w:rsidDel="00000000" w:rsidP="00000000" w:rsidRDefault="00000000" w:rsidRPr="00000000" w14:paraId="0000002D">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Transportation work group</w:t>
            </w:r>
          </w:p>
          <w:p w:rsidR="00000000" w:rsidDel="00000000" w:rsidP="00000000" w:rsidRDefault="00000000" w:rsidRPr="00000000" w14:paraId="0000002E">
            <w:pPr>
              <w:rPr>
                <w:rFonts w:ascii="Calibri" w:cs="Calibri" w:eastAsia="Calibri" w:hAnsi="Calibri"/>
              </w:rPr>
            </w:pPr>
            <w:r w:rsidDel="00000000" w:rsidR="00000000" w:rsidRPr="00000000">
              <w:rPr>
                <w:rtl w:val="0"/>
              </w:rPr>
            </w:r>
          </w:p>
          <w:p w:rsidR="00000000" w:rsidDel="00000000" w:rsidP="00000000" w:rsidRDefault="00000000" w:rsidRPr="00000000" w14:paraId="0000002F">
            <w:pPr>
              <w:rPr>
                <w:rFonts w:ascii="Calibri" w:cs="Calibri" w:eastAsia="Calibri" w:hAnsi="Calibri"/>
              </w:rPr>
            </w:pPr>
            <w:r w:rsidDel="00000000" w:rsidR="00000000" w:rsidRPr="00000000">
              <w:rPr>
                <w:rFonts w:ascii="Calibri" w:cs="Calibri" w:eastAsia="Calibri" w:hAnsi="Calibri"/>
                <w:rtl w:val="0"/>
              </w:rPr>
              <w:t xml:space="preserve">Plan will be to reserve standard Facilities Council meeting times through the summer term, and alternate between the two council work groups.  Deborah will send the appointment invitations.</w:t>
            </w:r>
          </w:p>
          <w:p w:rsidR="00000000" w:rsidDel="00000000" w:rsidP="00000000" w:rsidRDefault="00000000" w:rsidRPr="00000000" w14:paraId="00000030">
            <w:pPr>
              <w:rPr>
                <w:rFonts w:ascii="Calibri" w:cs="Calibri" w:eastAsia="Calibri" w:hAnsi="Calibri"/>
              </w:rPr>
            </w:pPr>
            <w:r w:rsidDel="00000000" w:rsidR="00000000" w:rsidRPr="00000000">
              <w:rPr>
                <w:rtl w:val="0"/>
              </w:rPr>
            </w:r>
          </w:p>
        </w:tc>
      </w:tr>
      <w:tr>
        <w:trPr>
          <w:trHeight w:val="220" w:hRule="atLeast"/>
        </w:trPr>
        <w:tc>
          <w:tcPr>
            <w:vAlign w:val="center"/>
          </w:tcPr>
          <w:p w:rsidR="00000000" w:rsidDel="00000000" w:rsidP="00000000" w:rsidRDefault="00000000" w:rsidRPr="00000000" w14:paraId="00000031">
            <w:pPr>
              <w:rPr>
                <w:rFonts w:ascii="Calibri" w:cs="Calibri" w:eastAsia="Calibri" w:hAnsi="Calibri"/>
              </w:rPr>
            </w:pPr>
            <w:r w:rsidDel="00000000" w:rsidR="00000000" w:rsidRPr="00000000">
              <w:rPr>
                <w:rFonts w:ascii="Calibri" w:cs="Calibri" w:eastAsia="Calibri" w:hAnsi="Calibri"/>
                <w:rtl w:val="0"/>
              </w:rPr>
              <w:t xml:space="preserve">Master Plan Update</w:t>
            </w:r>
          </w:p>
        </w:tc>
        <w:tc>
          <w:tcPr>
            <w:vAlign w:val="center"/>
          </w:tcPr>
          <w:p w:rsidR="00000000" w:rsidDel="00000000" w:rsidP="00000000" w:rsidRDefault="00000000" w:rsidRPr="00000000" w14:paraId="00000032">
            <w:pPr>
              <w:rPr>
                <w:rFonts w:ascii="Calibri" w:cs="Calibri" w:eastAsia="Calibri" w:hAnsi="Calibri"/>
              </w:rPr>
            </w:pPr>
            <w:r w:rsidDel="00000000" w:rsidR="00000000" w:rsidRPr="00000000">
              <w:rPr>
                <w:rtl w:val="0"/>
              </w:rPr>
            </w:r>
          </w:p>
          <w:p w:rsidR="00000000" w:rsidDel="00000000" w:rsidP="00000000" w:rsidRDefault="00000000" w:rsidRPr="00000000" w14:paraId="00000033">
            <w:pPr>
              <w:rPr>
                <w:rFonts w:ascii="Calibri" w:cs="Calibri" w:eastAsia="Calibri" w:hAnsi="Calibri"/>
              </w:rPr>
            </w:pPr>
            <w:r w:rsidDel="00000000" w:rsidR="00000000" w:rsidRPr="00000000">
              <w:rPr>
                <w:rFonts w:ascii="Calibri" w:cs="Calibri" w:eastAsia="Calibri" w:hAnsi="Calibri"/>
                <w:rtl w:val="0"/>
              </w:rPr>
              <w:t xml:space="preserve">Sustainability, Location, Art, and Architecture were 4 aspects of the Lane main campus that were identified by Rowell Brokaw as unique to this location.  The goal is to protect and expand these 4 aspects through planning and construction processes.  </w:t>
            </w:r>
          </w:p>
          <w:p w:rsidR="00000000" w:rsidDel="00000000" w:rsidP="00000000" w:rsidRDefault="00000000" w:rsidRPr="00000000" w14:paraId="00000034">
            <w:pPr>
              <w:rPr>
                <w:rFonts w:ascii="Calibri" w:cs="Calibri" w:eastAsia="Calibri" w:hAnsi="Calibri"/>
              </w:rPr>
            </w:pPr>
            <w:r w:rsidDel="00000000" w:rsidR="00000000" w:rsidRPr="00000000">
              <w:rPr>
                <w:rtl w:val="0"/>
              </w:rPr>
            </w:r>
          </w:p>
          <w:p w:rsidR="00000000" w:rsidDel="00000000" w:rsidP="00000000" w:rsidRDefault="00000000" w:rsidRPr="00000000" w14:paraId="00000035">
            <w:pPr>
              <w:rPr>
                <w:rFonts w:ascii="Calibri" w:cs="Calibri" w:eastAsia="Calibri" w:hAnsi="Calibri"/>
              </w:rPr>
            </w:pPr>
            <w:r w:rsidDel="00000000" w:rsidR="00000000" w:rsidRPr="00000000">
              <w:rPr>
                <w:rFonts w:ascii="Calibri" w:cs="Calibri" w:eastAsia="Calibri" w:hAnsi="Calibri"/>
                <w:rtl w:val="0"/>
              </w:rPr>
              <w:t xml:space="preserve">Some points that were discussed: </w:t>
            </w:r>
          </w:p>
          <w:p w:rsidR="00000000" w:rsidDel="00000000" w:rsidP="00000000" w:rsidRDefault="00000000" w:rsidRPr="00000000" w14:paraId="00000036">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Enhance Visual Sustainability - add new Learning Garden locations, solar arrays, bicycle parking, etc.</w:t>
            </w:r>
          </w:p>
          <w:p w:rsidR="00000000" w:rsidDel="00000000" w:rsidP="00000000" w:rsidRDefault="00000000" w:rsidRPr="00000000" w14:paraId="00000037">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Improve visual wayfinding and build connections to inner campus locations by bicycle, public transportation, and for pedestrians on foot</w:t>
            </w:r>
          </w:p>
          <w:p w:rsidR="00000000" w:rsidDel="00000000" w:rsidP="00000000" w:rsidRDefault="00000000" w:rsidRPr="00000000" w14:paraId="00000038">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Focus and contextualize unique art and mid-century modern architecture across campus</w:t>
            </w:r>
          </w:p>
          <w:p w:rsidR="00000000" w:rsidDel="00000000" w:rsidP="00000000" w:rsidRDefault="00000000" w:rsidRPr="00000000" w14:paraId="00000039">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Plan for growth that is aligned to plans shared in department meetings</w:t>
            </w:r>
          </w:p>
          <w:p w:rsidR="00000000" w:rsidDel="00000000" w:rsidP="00000000" w:rsidRDefault="00000000" w:rsidRPr="00000000" w14:paraId="0000003A">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Update plans refer to deferred maintenance list and seismic upgrade priority (based on critical systems location and number of employees working in the building)</w:t>
            </w:r>
          </w:p>
          <w:p w:rsidR="00000000" w:rsidDel="00000000" w:rsidP="00000000" w:rsidRDefault="00000000" w:rsidRPr="00000000" w14:paraId="0000003B">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Possible 2020 Bond projects (organized in terms of space use, not departments of focus)</w:t>
            </w:r>
          </w:p>
          <w:p w:rsidR="00000000" w:rsidDel="00000000" w:rsidP="00000000" w:rsidRDefault="00000000" w:rsidRPr="00000000" w14:paraId="0000003C">
            <w:pPr>
              <w:rPr>
                <w:rFonts w:ascii="Calibri" w:cs="Calibri" w:eastAsia="Calibri" w:hAnsi="Calibri"/>
              </w:rPr>
            </w:pPr>
            <w:r w:rsidDel="00000000" w:rsidR="00000000" w:rsidRPr="00000000">
              <w:rPr>
                <w:rtl w:val="0"/>
              </w:rPr>
            </w:r>
          </w:p>
          <w:p w:rsidR="00000000" w:rsidDel="00000000" w:rsidP="00000000" w:rsidRDefault="00000000" w:rsidRPr="00000000" w14:paraId="0000003D">
            <w:pPr>
              <w:rPr>
                <w:rFonts w:ascii="Calibri" w:cs="Calibri" w:eastAsia="Calibri" w:hAnsi="Calibri"/>
              </w:rPr>
            </w:pPr>
            <w:r w:rsidDel="00000000" w:rsidR="00000000" w:rsidRPr="00000000">
              <w:rPr>
                <w:rFonts w:ascii="Calibri" w:cs="Calibri" w:eastAsia="Calibri" w:hAnsi="Calibri"/>
                <w:rtl w:val="0"/>
              </w:rPr>
              <w:t xml:space="preserve">All members who were present completed a categorization activity in which they scored alignment of suggested projects with established college values and Master Plan principles.  Chris, Lorri, and Mark will use the information to complete categorization of potential bond projects.</w:t>
            </w:r>
          </w:p>
          <w:p w:rsidR="00000000" w:rsidDel="00000000" w:rsidP="00000000" w:rsidRDefault="00000000" w:rsidRPr="00000000" w14:paraId="0000003E">
            <w:pPr>
              <w:rPr>
                <w:rFonts w:ascii="Calibri" w:cs="Calibri" w:eastAsia="Calibri" w:hAnsi="Calibri"/>
              </w:rPr>
            </w:pPr>
            <w:r w:rsidDel="00000000" w:rsidR="00000000" w:rsidRPr="00000000">
              <w:rPr>
                <w:rtl w:val="0"/>
              </w:rPr>
            </w:r>
          </w:p>
        </w:tc>
      </w:tr>
      <w:tr>
        <w:trPr>
          <w:trHeight w:val="260" w:hRule="atLeast"/>
        </w:trPr>
        <w:tc>
          <w:tcPr>
            <w:vAlign w:val="center"/>
          </w:tcPr>
          <w:p w:rsidR="00000000" w:rsidDel="00000000" w:rsidP="00000000" w:rsidRDefault="00000000" w:rsidRPr="00000000" w14:paraId="0000003F">
            <w:pPr>
              <w:rPr>
                <w:rFonts w:ascii="Calibri" w:cs="Calibri" w:eastAsia="Calibri" w:hAnsi="Calibri"/>
              </w:rPr>
            </w:pPr>
            <w:r w:rsidDel="00000000" w:rsidR="00000000" w:rsidRPr="00000000">
              <w:rPr>
                <w:rFonts w:ascii="Calibri" w:cs="Calibri" w:eastAsia="Calibri" w:hAnsi="Calibri"/>
                <w:b w:val="1"/>
                <w:rtl w:val="0"/>
              </w:rPr>
              <w:t xml:space="preserve">Next Meeting</w:t>
            </w:r>
            <w:r w:rsidDel="00000000" w:rsidR="00000000" w:rsidRPr="00000000">
              <w:rPr>
                <w:rtl w:val="0"/>
              </w:rPr>
            </w:r>
          </w:p>
        </w:tc>
        <w:tc>
          <w:tcPr>
            <w:vAlign w:val="center"/>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June 11,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2:30 – 4:30p</w:t>
            </w:r>
            <w:r w:rsidDel="00000000" w:rsidR="00000000" w:rsidRPr="00000000">
              <w:rPr>
                <w:rFonts w:ascii="Calibri" w:cs="Calibri" w:eastAsia="Calibri" w:hAnsi="Calibri"/>
                <w:b w:val="1"/>
                <w:rtl w:val="0"/>
              </w:rPr>
              <w:t xml:space="preserve">m</w:t>
            </w:r>
          </w:p>
        </w:tc>
      </w:tr>
    </w:tbl>
    <w:p w:rsidR="00000000" w:rsidDel="00000000" w:rsidP="00000000" w:rsidRDefault="00000000" w:rsidRPr="00000000" w14:paraId="00000041">
      <w:pPr>
        <w:rPr>
          <w:rFonts w:ascii="Calibri" w:cs="Calibri" w:eastAsia="Calibri" w:hAnsi="Calibri"/>
        </w:rPr>
      </w:pPr>
      <w:r w:rsidDel="00000000" w:rsidR="00000000" w:rsidRPr="00000000">
        <w:rPr>
          <w:rtl w:val="0"/>
        </w:rPr>
      </w:r>
    </w:p>
    <w:p w:rsidR="00000000" w:rsidDel="00000000" w:rsidP="00000000" w:rsidRDefault="00000000" w:rsidRPr="00000000" w14:paraId="00000042">
      <w:pPr>
        <w:rPr>
          <w:rFonts w:ascii="Calibri" w:cs="Calibri" w:eastAsia="Calibri" w:hAnsi="Calibri"/>
        </w:rPr>
      </w:pPr>
      <w:r w:rsidDel="00000000" w:rsidR="00000000" w:rsidRPr="00000000">
        <w:rPr>
          <w:rtl w:val="0"/>
        </w:rPr>
      </w:r>
    </w:p>
    <w:p w:rsidR="00000000" w:rsidDel="00000000" w:rsidP="00000000" w:rsidRDefault="00000000" w:rsidRPr="00000000" w14:paraId="00000043">
      <w:pPr>
        <w:rPr>
          <w:rFonts w:ascii="Calibri" w:cs="Calibri" w:eastAsia="Calibri" w:hAnsi="Calibri"/>
        </w:rPr>
      </w:pPr>
      <w:r w:rsidDel="00000000" w:rsidR="00000000" w:rsidRPr="00000000">
        <w:rPr>
          <w:rFonts w:ascii="Calibri" w:cs="Calibri" w:eastAsia="Calibri" w:hAnsi="Calibri"/>
          <w:rtl w:val="0"/>
        </w:rPr>
        <w:t xml:space="preserve">Future Agenda Items: </w:t>
      </w:r>
    </w:p>
    <w:p w:rsidR="00000000" w:rsidDel="00000000" w:rsidP="00000000" w:rsidRDefault="00000000" w:rsidRPr="00000000" w14:paraId="00000044">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Safety Committee Training recommendations on June 11 (Jennifer H)</w:t>
      </w:r>
    </w:p>
    <w:p w:rsidR="00000000" w:rsidDel="00000000" w:rsidP="00000000" w:rsidRDefault="00000000" w:rsidRPr="00000000" w14:paraId="00000045">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Taphonomy Lab update in Fall Term meeting (and perhaps a bi-yearly or yearly report out?)</w:t>
      </w:r>
      <w:r w:rsidDel="00000000" w:rsidR="00000000" w:rsidRPr="00000000">
        <w:rPr>
          <w:rtl w:val="0"/>
        </w:rPr>
      </w:r>
    </w:p>
    <w:p w:rsidR="00000000" w:rsidDel="00000000" w:rsidP="00000000" w:rsidRDefault="00000000" w:rsidRPr="00000000" w14:paraId="00000046">
      <w:pPr>
        <w:ind w:left="0" w:firstLine="0"/>
        <w:rPr>
          <w:rFonts w:ascii="Calibri" w:cs="Calibri" w:eastAsia="Calibri" w:hAnsi="Calibri"/>
        </w:rPr>
      </w:pPr>
      <w:r w:rsidDel="00000000" w:rsidR="00000000" w:rsidRPr="00000000">
        <w:rPr>
          <w:rtl w:val="0"/>
        </w:rPr>
      </w:r>
    </w:p>
    <w:sectPr>
      <w:pgSz w:h="12240" w:w="15840"/>
      <w:pgMar w:bottom="432" w:top="432" w:left="720" w:right="9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Estrangelo Edess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Estrangelo Edessa" w:cs="Estrangelo Edessa" w:eastAsia="Estrangelo Edessa" w:hAnsi="Estrangelo Edess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