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-327659</wp:posOffset>
            </wp:positionH>
            <wp:positionV relativeFrom="paragraph">
              <wp:posOffset>-388619</wp:posOffset>
            </wp:positionV>
            <wp:extent cx="1600200" cy="644525"/>
            <wp:effectExtent b="0" l="0" r="0" t="0"/>
            <wp:wrapSquare wrapText="bothSides" distB="0" distT="0" distL="0" distR="0"/>
            <wp:docPr descr="lccblogos" id="1" name="image01.png"/>
            <a:graphic>
              <a:graphicData uri="http://schemas.openxmlformats.org/drawingml/2006/picture">
                <pic:pic>
                  <pic:nvPicPr>
                    <pic:cNvPr descr="lccblogos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4"/>
        <w:ind w:left="-360" w:firstLine="0"/>
        <w:contextualSpacing w:val="0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Diversity Council </w:t>
      </w:r>
      <w:hyperlink r:id="rId6">
        <w:r w:rsidDel="00000000" w:rsidR="00000000" w:rsidRPr="00000000">
          <w:rPr>
            <w:rFonts w:ascii="Arial Black" w:cs="Arial Black" w:eastAsia="Arial Black" w:hAnsi="Arial Black"/>
            <w:color w:val="0000ff"/>
            <w:sz w:val="32"/>
            <w:szCs w:val="32"/>
            <w:u w:val="single"/>
            <w:rtl w:val="0"/>
          </w:rPr>
          <w:t xml:space="preserve">http://www.lanecc.edu/governance/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ind w:left="-360" w:firstLine="0"/>
        <w:contextualSpacing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Arial Black" w:cs="Arial Black" w:eastAsia="Arial Black" w:hAnsi="Arial Black"/>
          <w:strike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Minutes</w:t>
      </w:r>
    </w:p>
    <w:p w:rsidR="00000000" w:rsidDel="00000000" w:rsidP="00000000" w:rsidRDefault="00000000" w:rsidRPr="00000000">
      <w:pPr>
        <w:ind w:hanging="360"/>
        <w:contextualSpacing w:val="0"/>
        <w:jc w:val="center"/>
        <w:rPr>
          <w:rFonts w:ascii="Verdana" w:cs="Verdana" w:eastAsia="Verdana" w:hAnsi="Verdana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March 18, 2016, 10:00 am – 12 noon</w:t>
        <w:br w:type="textWrapping"/>
        <w:t xml:space="preserve">Room 212, Building 1 (Conference Room in Bldg. #1)</w:t>
        <w:br w:type="textWrapping"/>
      </w:r>
    </w:p>
    <w:tbl>
      <w:tblPr>
        <w:tblStyle w:val="Table1"/>
        <w:bidiVisual w:val="0"/>
        <w:tblW w:w="13770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9180"/>
        <w:gridCol w:w="3240"/>
        <w:tblGridChange w:id="0">
          <w:tblGrid>
            <w:gridCol w:w="1350"/>
            <w:gridCol w:w="9180"/>
            <w:gridCol w:w="324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Review and approve of agenda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5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Approve minutes of previous meeting – February 26, 2016.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-18" w:firstLine="0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Name recorder for this meeting –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Finalization of Diversity Council Membership for 2015/2016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70 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 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Diversity Council work plan 2015-2016 –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Ongoing discussion about 2010 – 2015 diversity work plan updates and accomplishments. Decisions and direction are needed about 2015-2016 work plan focus. Deborah Butler and a diversity council work group are moving this work forward. Members will report and the council should decide upon a focus for the work plan for the remainder of 2015-2016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The link to the current version of the Diversity Plan is noted below. It is an expectation of the college governance system that the Diversity Council will develop and approve a “work plan” that focuses and aligns Diversity Council work for the remainder of this academic year.  The current Diversity Plan may be read and reviewed 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https://www.lanecc.edu/sites/default/files/diversity/diversityplan2010_2015.pdf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10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Statewide Diversity Initiative – An initiative has emerged among the 17 Oregon community colleges to establish a state-wide committee or organization for “Employees of Color.”  I have attached the proposal and we should discuss how Lane should and will support this proposal. 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Announcements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Agenda Items for Next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Members: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Greg Evans, Deborah Butler, Dennis Carr, Reid Ellingson, Shawn Goddard, Kristin Gustafson, Mark Harris, Al King, Casandra Rhay. </w:t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://www.lanecc.edu/governance/" TargetMode="External"/><Relationship Id="rId7" Type="http://schemas.openxmlformats.org/officeDocument/2006/relationships/hyperlink" Target="https://www.lanecc.edu/sites/default/files/diversity/diversityplan2010_2015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