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October 13, 2017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Starting a New Year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 members/Introductions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Changing Council name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Adding pronouns to member list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2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https://www.lanecc.edu/governance/diversity-council-membership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2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ASLCC example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https://www.lanecc.edu/aslcc/officials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Workgroup Meetings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2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https://docs.google.com/a/lanecc.edu/document/d/1rYbp-S-Qtik5diHX1-GLG_8G0SivkVQ2aAgDHVni2vk/edit?usp=sharing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9:25-9:30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6.9.17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5"/>
              </w:numPr>
              <w:spacing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https://docs.google.com/document/d/1yfaP6ws9ZFwZhP-uOA3u5WlwbrYdDdt2qyewmsde-jA/edit?usp=sharing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9:30-9:50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Updates and Campus-Wide Roll Out of Equity Lens Work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New Access, Equity, and Inclusion Website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https://www.lanecc.edu/diversity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Conversation Kit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https://www.lanecc.edu/conversation/equity-lens-conversation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Forums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Fall Inservice 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4"/>
              </w:numPr>
              <w:spacing w:line="240" w:lineRule="auto"/>
              <w:ind w:left="2160" w:hanging="360"/>
              <w:contextualSpacing w:val="1"/>
              <w:rPr>
                <w:u w:val="non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https://docs.google.com/a/lanecc.edu/presentation/d/1YoxhSXl0cv28XckXwgv5VxhEwkFAaLvYIMSp-eVXo64/edit?usp=sharing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Wed, Oct 18, 3-4:3, 4/106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Thurs,</w:t>
              <w:tab/>
              <w:t xml:space="preserve">Oct 26, 3-4:30, 4/104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Surveys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4"/>
              </w:numPr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https://www.lanecc.edu/conversation/equity-lens-conversation-feedback-and-survey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Board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Deborah, Sarah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9:50-9:55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Update on Indigenous Peoples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Drew, Dean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9:55-10:05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 Nash’s Visit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October 19-20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10:05-10:15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Accreditation Visit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D-Council, October 24, 4-5pm, CML 214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10:15-10:30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Draft of White Paper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10:30-10:35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Harassment Policy Issue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</w:t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a/lanecc.edu/presentation/d/1YoxhSXl0cv28XckXwgv5VxhEwkFAaLvYIMSp-eVXo64/edit?usp=sharing" TargetMode="External"/><Relationship Id="rId10" Type="http://schemas.openxmlformats.org/officeDocument/2006/relationships/hyperlink" Target="https://www.lanecc.edu/conversation/equity-lens-conversation" TargetMode="External"/><Relationship Id="rId12" Type="http://schemas.openxmlformats.org/officeDocument/2006/relationships/hyperlink" Target="https://www.lanecc.edu/conversation/equity-lens-conversation-feedback-and-survey" TargetMode="External"/><Relationship Id="rId9" Type="http://schemas.openxmlformats.org/officeDocument/2006/relationships/hyperlink" Target="https://www.lanecc.edu/diversit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anecc.edu/governance/diversity-council-membership" TargetMode="External"/><Relationship Id="rId7" Type="http://schemas.openxmlformats.org/officeDocument/2006/relationships/hyperlink" Target="https://www.lanecc.edu/aslcc/officials" TargetMode="External"/><Relationship Id="rId8" Type="http://schemas.openxmlformats.org/officeDocument/2006/relationships/hyperlink" Target="https://docs.google.com/a/lanecc.edu/document/d/1rYbp-S-Qtik5diHX1-GLG_8G0SivkVQ2aAgDHVni2v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