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D862" w14:textId="738F3409" w:rsidR="009504D2" w:rsidRDefault="0091429A" w:rsidP="0091429A">
      <w:pPr>
        <w:pStyle w:val="Heading1"/>
      </w:pPr>
      <w:r>
        <w:t>Summary of LCC’s FY25 audit report</w:t>
      </w:r>
    </w:p>
    <w:p w14:paraId="0B10B99C" w14:textId="71FEAF40" w:rsidR="0091429A" w:rsidRDefault="0091429A" w:rsidP="0091429A">
      <w:r>
        <w:t>Published 12/19/25.  Presented to the Board 1/7/26.</w:t>
      </w:r>
      <w:r w:rsidR="00501348">
        <w:t xml:space="preserve">  Filed online at </w:t>
      </w:r>
      <w:r w:rsidR="00501348" w:rsidRPr="00501348">
        <w:t>https://www.lanecc.edu/administration/college-finance/audits-financial-reports</w:t>
      </w:r>
    </w:p>
    <w:p w14:paraId="5C109EFE" w14:textId="3B358482" w:rsidR="0091429A" w:rsidRPr="00136743" w:rsidRDefault="0091429A" w:rsidP="00475BAC">
      <w:pPr>
        <w:pStyle w:val="Heading2"/>
        <w:rPr>
          <w:rStyle w:val="Strong"/>
        </w:rPr>
      </w:pPr>
      <w:r w:rsidRPr="00136743">
        <w:rPr>
          <w:rStyle w:val="Strong"/>
        </w:rPr>
        <w:t>Report of the Independent Auditors</w:t>
      </w:r>
      <w:r w:rsidR="00972C39" w:rsidRPr="00136743">
        <w:rPr>
          <w:rStyle w:val="Strong"/>
        </w:rPr>
        <w:t>, page 2</w:t>
      </w:r>
    </w:p>
    <w:p w14:paraId="4D7CC2E9" w14:textId="0E0B3E76" w:rsidR="00501348" w:rsidRDefault="00182299" w:rsidP="00501348">
      <w:r>
        <w:t>Mid-page: “the financial statements... present fairly, in all material respects, the… financial position of the College…”</w:t>
      </w:r>
    </w:p>
    <w:p w14:paraId="10A4C2FA" w14:textId="459D497A" w:rsidR="00182299" w:rsidRPr="00501348" w:rsidRDefault="00182299" w:rsidP="00501348">
      <w:r>
        <w:t>This means we can rely on the financial package to be high quality information.</w:t>
      </w:r>
    </w:p>
    <w:p w14:paraId="3A55ABD8" w14:textId="5BE5F336" w:rsidR="00972C39" w:rsidRPr="00136743" w:rsidRDefault="00972C39" w:rsidP="00475BAC">
      <w:pPr>
        <w:pStyle w:val="Heading2"/>
        <w:rPr>
          <w:rStyle w:val="Strong"/>
        </w:rPr>
      </w:pPr>
      <w:r w:rsidRPr="00136743">
        <w:rPr>
          <w:rStyle w:val="Strong"/>
        </w:rPr>
        <w:t>Management’s Discussion and Analysis, page 6</w:t>
      </w:r>
    </w:p>
    <w:p w14:paraId="0365D051" w14:textId="77777777" w:rsidR="00136743" w:rsidRDefault="00182299" w:rsidP="00E81B7C">
      <w:pPr>
        <w:spacing w:after="0"/>
      </w:pPr>
      <w:r>
        <w:t xml:space="preserve">A summary of financial activity during the year and the college’s financial position at the end of the year.  </w:t>
      </w:r>
    </w:p>
    <w:p w14:paraId="5D895555" w14:textId="66501F7E" w:rsidR="00136743" w:rsidRPr="00475BAC" w:rsidRDefault="00136743" w:rsidP="00475BAC">
      <w:pPr>
        <w:pStyle w:val="ListParagraph"/>
        <w:numPr>
          <w:ilvl w:val="0"/>
          <w:numId w:val="1"/>
        </w:numPr>
      </w:pPr>
      <w:r w:rsidRPr="00475BAC">
        <w:t>From the perspective of management</w:t>
      </w:r>
    </w:p>
    <w:p w14:paraId="64F320F4" w14:textId="17241013" w:rsidR="00501348" w:rsidRDefault="00182299" w:rsidP="00136743">
      <w:pPr>
        <w:pStyle w:val="ListParagraph"/>
        <w:numPr>
          <w:ilvl w:val="0"/>
          <w:numId w:val="1"/>
        </w:numPr>
      </w:pPr>
      <w:r>
        <w:t>Can include opinions!</w:t>
      </w:r>
    </w:p>
    <w:p w14:paraId="27378C13" w14:textId="64A2BB52" w:rsidR="00136743" w:rsidRPr="00501348" w:rsidRDefault="00136743" w:rsidP="00136743">
      <w:pPr>
        <w:pStyle w:val="ListParagraph"/>
        <w:numPr>
          <w:ilvl w:val="0"/>
          <w:numId w:val="1"/>
        </w:numPr>
      </w:pPr>
      <w:r>
        <w:t>Auditors verify the accuracy of these numbers but don’t comment on opinion statements</w:t>
      </w:r>
    </w:p>
    <w:p w14:paraId="484FDCB5" w14:textId="3B0A5229" w:rsidR="00972C39" w:rsidRPr="00136743" w:rsidRDefault="00972C39" w:rsidP="00475BAC">
      <w:pPr>
        <w:pStyle w:val="Heading2"/>
        <w:rPr>
          <w:rStyle w:val="Strong"/>
        </w:rPr>
      </w:pPr>
      <w:r w:rsidRPr="00136743">
        <w:rPr>
          <w:rStyle w:val="Strong"/>
        </w:rPr>
        <w:t>Basic Financial Statements, pages 17-50</w:t>
      </w:r>
    </w:p>
    <w:p w14:paraId="75197B38" w14:textId="77777777" w:rsidR="00962A66" w:rsidRDefault="00501348" w:rsidP="00475BAC">
      <w:r>
        <w:t xml:space="preserve">Governed by Governmental Accounting Standards Board – GASB.  </w:t>
      </w:r>
    </w:p>
    <w:p w14:paraId="7618E269" w14:textId="092A61D0" w:rsidR="00501348" w:rsidRDefault="00501348" w:rsidP="00475BAC">
      <w:r>
        <w:t xml:space="preserve">GASB’s </w:t>
      </w:r>
      <w:r w:rsidR="00962A66">
        <w:t xml:space="preserve">Purpose: </w:t>
      </w:r>
      <w:r w:rsidR="00E81B7C">
        <w:t>sets the rules to help taxpayers understand</w:t>
      </w:r>
      <w:r w:rsidR="002307CF">
        <w:t xml:space="preserve"> (1) how their governments are spending public money, (2) whether their government will be in a position to continue providing current services, (3) whether their government will be able to pay bonds and other debt on time.</w:t>
      </w:r>
      <w:r w:rsidR="003260FD">
        <w:t xml:space="preserve"> (summarized from gasb.org)</w:t>
      </w:r>
    </w:p>
    <w:p w14:paraId="33E9839E" w14:textId="77777777" w:rsidR="002165F2" w:rsidRDefault="002165F2" w:rsidP="00475BAC">
      <w:r>
        <w:t xml:space="preserve">Megan’s translation: </w:t>
      </w:r>
    </w:p>
    <w:p w14:paraId="46CA6EF9" w14:textId="2DD4E452" w:rsidR="002165F2" w:rsidRDefault="002165F2" w:rsidP="00475BAC">
      <w:r>
        <w:t>Accountability is good for everyone.  Taxpayers and other stakeholders have a right to this info.</w:t>
      </w:r>
    </w:p>
    <w:p w14:paraId="513C154B" w14:textId="218ADFE9" w:rsidR="002165F2" w:rsidRDefault="002165F2" w:rsidP="00475BAC">
      <w:r>
        <w:t>GASB focuses on city, county, and state governments</w:t>
      </w:r>
      <w:r w:rsidR="001E3630">
        <w:t xml:space="preserve"> which are funded by taxes</w:t>
      </w:r>
    </w:p>
    <w:p w14:paraId="494112CF" w14:textId="3256E7AF" w:rsidR="002165F2" w:rsidRDefault="002165F2" w:rsidP="00475BAC">
      <w:r>
        <w:t xml:space="preserve">Numbers 2 &amp; 3 </w:t>
      </w:r>
      <w:r w:rsidR="00BB36DA">
        <w:t xml:space="preserve">above </w:t>
      </w:r>
      <w:r>
        <w:t xml:space="preserve">are really about </w:t>
      </w:r>
      <w:r w:rsidR="00971299">
        <w:t xml:space="preserve">whether a government can pay their bills now and in the future </w:t>
      </w:r>
      <w:r w:rsidR="00971299">
        <w:sym w:font="Wingdings" w:char="F0E0"/>
      </w:r>
      <w:r w:rsidR="00971299">
        <w:t xml:space="preserve"> Emphasis is on making sure </w:t>
      </w:r>
      <w:proofErr w:type="gramStart"/>
      <w:r w:rsidR="00971299">
        <w:t>Liabilities</w:t>
      </w:r>
      <w:r w:rsidR="001E3630">
        <w:t>(</w:t>
      </w:r>
      <w:proofErr w:type="gramEnd"/>
      <w:r w:rsidR="001E3630">
        <w:t>Debts)</w:t>
      </w:r>
      <w:r w:rsidR="00971299">
        <w:t xml:space="preserve"> are </w:t>
      </w:r>
      <w:r w:rsidR="00BB36DA">
        <w:t>fully reported</w:t>
      </w:r>
      <w:r w:rsidR="00971299">
        <w:t>.  Other elements of the financials are adjusted to make sure Liabilities are complete.</w:t>
      </w:r>
    </w:p>
    <w:p w14:paraId="2EB8A2CE" w14:textId="512B6925" w:rsidR="002165F2" w:rsidRDefault="00971299" w:rsidP="00475BAC">
      <w:r w:rsidRPr="006621B4">
        <w:rPr>
          <w:b/>
          <w:bCs/>
        </w:rPr>
        <w:t>Much of this is not particularly relevant or applicable to a community college.</w:t>
      </w:r>
      <w:r>
        <w:t xml:space="preserve">  We still have to do it.</w:t>
      </w:r>
    </w:p>
    <w:p w14:paraId="1321E77F" w14:textId="63AE5F45" w:rsidR="001E3630" w:rsidRDefault="001E3630" w:rsidP="00475BAC">
      <w:r>
        <w:t>These reports include all funds, all departments, combined</w:t>
      </w:r>
      <w:r w:rsidR="003260FD">
        <w:t xml:space="preserve"> and adjusted per GASB requirements.</w:t>
      </w:r>
    </w:p>
    <w:p w14:paraId="4FC4F726" w14:textId="1B071623" w:rsidR="001E3630" w:rsidRDefault="001E3630" w:rsidP="00475BAC">
      <w:pPr>
        <w:pStyle w:val="Heading3"/>
      </w:pPr>
      <w:r w:rsidRPr="00176FD6">
        <w:t>Highlights</w:t>
      </w:r>
      <w:r w:rsidR="002F1B17">
        <w:t xml:space="preserve"> – Statement of Net Position</w:t>
      </w:r>
    </w:p>
    <w:p w14:paraId="3EC2A41B" w14:textId="4D2CA7AD" w:rsidR="00B837AA" w:rsidRPr="00B837AA" w:rsidRDefault="00B837AA" w:rsidP="00176FD6">
      <w:pPr>
        <w:spacing w:after="0"/>
        <w:rPr>
          <w:b/>
          <w:bCs/>
        </w:rPr>
      </w:pPr>
      <w:r>
        <w:rPr>
          <w:b/>
          <w:bCs/>
        </w:rPr>
        <w:t>Statement of Net Position shows what you have and what you owe at a point in time – in this case at 6/30/25.</w:t>
      </w:r>
    </w:p>
    <w:p w14:paraId="2DE4A398" w14:textId="0925E5ED" w:rsidR="00176FD6" w:rsidRDefault="00176FD6" w:rsidP="00176FD6">
      <w:pPr>
        <w:pStyle w:val="ListParagraph"/>
        <w:numPr>
          <w:ilvl w:val="0"/>
          <w:numId w:val="3"/>
        </w:numPr>
      </w:pPr>
      <w:r>
        <w:lastRenderedPageBreak/>
        <w:t xml:space="preserve">Cash is positive but minimal.  Cash doesn’t earn interest and the college practices </w:t>
      </w:r>
      <w:r w:rsidR="003260FD">
        <w:t xml:space="preserve">good </w:t>
      </w:r>
      <w:r w:rsidR="00BD6E20">
        <w:t>resource stewardship by investing cash that isn’t needed in the very short term.</w:t>
      </w:r>
    </w:p>
    <w:p w14:paraId="5640D138" w14:textId="38D1052E" w:rsidR="003260FD" w:rsidRDefault="003260FD" w:rsidP="00176FD6">
      <w:pPr>
        <w:pStyle w:val="ListParagraph"/>
        <w:numPr>
          <w:ilvl w:val="0"/>
          <w:numId w:val="3"/>
        </w:numPr>
      </w:pPr>
      <w:r>
        <w:t>Investments are high.  Most of these moneys came from the 2020 Bonds and may only be spent on Capital projects.  Some investments are restricted to Pension support by bonds issued in 2003 &amp; 2022.  In all, 94% of investment moneys are NOT available for general needs.</w:t>
      </w:r>
      <w:r w:rsidR="00D55B57">
        <w:t xml:space="preserve"> </w:t>
      </w:r>
    </w:p>
    <w:p w14:paraId="657CF836" w14:textId="6B92B4B3" w:rsidR="00842D3E" w:rsidRDefault="00BD6E20" w:rsidP="00FF48F5">
      <w:pPr>
        <w:pStyle w:val="ListParagraph"/>
        <w:numPr>
          <w:ilvl w:val="0"/>
          <w:numId w:val="3"/>
        </w:numPr>
      </w:pPr>
      <w:r>
        <w:t xml:space="preserve">Deferred outflows are </w:t>
      </w:r>
      <w:r w:rsidR="0034424F">
        <w:t xml:space="preserve">similar to Assets.  </w:t>
      </w:r>
      <w:r w:rsidR="006621B4">
        <w:t xml:space="preserve">Deferred inflows are </w:t>
      </w:r>
      <w:r w:rsidR="0034424F">
        <w:t xml:space="preserve">similar to Liabilities.  View them together – they are related.  The combined values are a Net Deferred Outflow.  This is </w:t>
      </w:r>
      <w:r w:rsidR="00842D3E">
        <w:t>value that will be useful to us in the future (per actuarial calculations)</w:t>
      </w:r>
      <w:r w:rsidR="005C5255">
        <w:t xml:space="preserve"> but is not sellable or distributable</w:t>
      </w:r>
      <w:r w:rsidR="0034424F">
        <w:t xml:space="preserve">.  The </w:t>
      </w:r>
      <w:r w:rsidR="00842D3E">
        <w:t xml:space="preserve">value is currently scheduled to </w:t>
      </w:r>
      <w:r w:rsidR="0034424F">
        <w:t xml:space="preserve">be </w:t>
      </w:r>
      <w:r w:rsidR="00E8046F">
        <w:t>charged to Expenses</w:t>
      </w:r>
      <w:r w:rsidR="0034424F">
        <w:t xml:space="preserve"> in the next 3 years </w:t>
      </w:r>
      <w:r w:rsidR="00E8046F">
        <w:t xml:space="preserve">to </w:t>
      </w:r>
      <w:r w:rsidR="0034424F">
        <w:t xml:space="preserve">various Programs.  This is </w:t>
      </w:r>
      <w:r w:rsidR="00FF48F5">
        <w:t>part of our future visibility to pension costs</w:t>
      </w:r>
      <w:r w:rsidR="00842D3E">
        <w:t>.</w:t>
      </w:r>
      <w:r w:rsidR="00C0693D">
        <w:t xml:space="preserve">  It changes, sometimes by a lot, based on </w:t>
      </w:r>
      <w:proofErr w:type="spellStart"/>
      <w:r w:rsidR="00C0693D">
        <w:t>macro economic</w:t>
      </w:r>
      <w:proofErr w:type="spellEnd"/>
      <w:r w:rsidR="00C0693D">
        <w:t xml:space="preserve"> indicators and any of the assumptions found on page 38.  All of the calculations are provided to LCC by Oregon PERS and by our independent actuary, HUB International Great Plains, for our early retirement plans.</w:t>
      </w:r>
    </w:p>
    <w:p w14:paraId="4D98BAE3" w14:textId="4260E832" w:rsidR="00D55B57" w:rsidRDefault="00D55B57" w:rsidP="00D55B57">
      <w:pPr>
        <w:pStyle w:val="ListParagraph"/>
        <w:numPr>
          <w:ilvl w:val="0"/>
          <w:numId w:val="3"/>
        </w:numPr>
      </w:pPr>
      <w:r>
        <w:t xml:space="preserve">Net position at $91M dropped $10M from prior year.  </w:t>
      </w:r>
      <w:r w:rsidRPr="006621B4">
        <w:rPr>
          <w:b/>
          <w:bCs/>
        </w:rPr>
        <w:t>This is not cash</w:t>
      </w:r>
      <w:r>
        <w:t xml:space="preserve"> (see cash &amp; investments above).  </w:t>
      </w:r>
      <w:r w:rsidR="006621B4">
        <w:t xml:space="preserve">It’s not a reserve.  </w:t>
      </w:r>
      <w:r>
        <w:t xml:space="preserve">This is </w:t>
      </w:r>
      <w:r w:rsidR="0022309C">
        <w:t>similar</w:t>
      </w:r>
      <w:r>
        <w:t xml:space="preserve"> to Equity.  Much like ownership equity in a house</w:t>
      </w:r>
      <w:r w:rsidR="0022309C">
        <w:t xml:space="preserve"> or a car</w:t>
      </w:r>
      <w:r>
        <w:t xml:space="preserve">, Net position is the </w:t>
      </w:r>
      <w:r w:rsidR="0022309C">
        <w:t>accounting value of the thing you have, less the amount you owe on it</w:t>
      </w:r>
      <w:r>
        <w:t>.</w:t>
      </w:r>
    </w:p>
    <w:p w14:paraId="36E83CC7" w14:textId="4382E0F4" w:rsidR="00D55B57" w:rsidRDefault="00D55B57" w:rsidP="00D55B57">
      <w:pPr>
        <w:pStyle w:val="ListParagraph"/>
        <w:jc w:val="center"/>
      </w:pPr>
      <w:r>
        <w:t>Ownership Equity = Value of Home</w:t>
      </w:r>
      <w:r w:rsidR="0022309C">
        <w:t>/Car</w:t>
      </w:r>
      <w:r>
        <w:t xml:space="preserve"> – Debts owed on home</w:t>
      </w:r>
      <w:r w:rsidR="0022309C">
        <w:t>/car</w:t>
      </w:r>
    </w:p>
    <w:p w14:paraId="3926B1D8" w14:textId="359152D3" w:rsidR="00D55B57" w:rsidRDefault="00D55B57" w:rsidP="00D55B57">
      <w:pPr>
        <w:pStyle w:val="ListParagraph"/>
        <w:jc w:val="center"/>
      </w:pPr>
      <w:r>
        <w:t>Net Position = Value of Assets – What we owe</w:t>
      </w:r>
      <w:r w:rsidR="0022309C">
        <w:t xml:space="preserve"> (Liabilities)</w:t>
      </w:r>
    </w:p>
    <w:p w14:paraId="7B80D4DF" w14:textId="65046AA1" w:rsidR="002F1B17" w:rsidRDefault="002F1B17" w:rsidP="002F1B17">
      <w:pPr>
        <w:pStyle w:val="ListParagraph"/>
        <w:ind w:left="0"/>
      </w:pPr>
      <w:r>
        <w:rPr>
          <w:u w:val="single"/>
        </w:rPr>
        <w:t>Highlights – Statement of Revenues, Expense, and Changes in Net Position</w:t>
      </w:r>
    </w:p>
    <w:p w14:paraId="637C6D47" w14:textId="29284E5A" w:rsidR="00B837AA" w:rsidRPr="00B837AA" w:rsidRDefault="00B837AA" w:rsidP="002F1B17">
      <w:pPr>
        <w:pStyle w:val="ListParagraph"/>
        <w:ind w:left="0"/>
        <w:rPr>
          <w:b/>
          <w:bCs/>
        </w:rPr>
      </w:pPr>
      <w:r>
        <w:rPr>
          <w:b/>
          <w:bCs/>
        </w:rPr>
        <w:t xml:space="preserve">Statement of Revenues, Expenses and Changes in Net Position show what happened during a period of time – in this case from 7/1/24 to 6/30/25, </w:t>
      </w:r>
      <w:proofErr w:type="spellStart"/>
      <w:r>
        <w:rPr>
          <w:b/>
          <w:bCs/>
        </w:rPr>
        <w:t>ie</w:t>
      </w:r>
      <w:proofErr w:type="spellEnd"/>
      <w:r>
        <w:rPr>
          <w:b/>
          <w:bCs/>
        </w:rPr>
        <w:t>. Our fiscal year.</w:t>
      </w:r>
    </w:p>
    <w:p w14:paraId="2FBD5886" w14:textId="15A4FC35" w:rsidR="002F1B17" w:rsidRDefault="002F1B17" w:rsidP="002F1B17">
      <w:pPr>
        <w:pStyle w:val="ListParagraph"/>
        <w:numPr>
          <w:ilvl w:val="0"/>
          <w:numId w:val="3"/>
        </w:numPr>
      </w:pPr>
      <w:r>
        <w:t>Revenues</w:t>
      </w:r>
      <w:r w:rsidR="0022309C">
        <w:t xml:space="preserve"> are shown in 2 places</w:t>
      </w:r>
      <w:r w:rsidR="00723F81">
        <w:t xml:space="preserve"> – Operating and Nonoperating, as required</w:t>
      </w:r>
    </w:p>
    <w:p w14:paraId="53625E6C" w14:textId="4D11F0BA" w:rsidR="00723F81" w:rsidRDefault="00723F81" w:rsidP="002F1B17">
      <w:pPr>
        <w:pStyle w:val="ListParagraph"/>
        <w:numPr>
          <w:ilvl w:val="0"/>
          <w:numId w:val="3"/>
        </w:numPr>
      </w:pPr>
      <w:r>
        <w:t>Operating Income (Loss) is what it would look like if we operated only on tuition, some grants</w:t>
      </w:r>
      <w:r w:rsidR="00AF6800">
        <w:t>, and housing leases.</w:t>
      </w:r>
    </w:p>
    <w:p w14:paraId="35011BB1" w14:textId="24FBDCB1" w:rsidR="00AF6800" w:rsidRDefault="00AF6800" w:rsidP="002F1B17">
      <w:pPr>
        <w:pStyle w:val="ListParagraph"/>
        <w:numPr>
          <w:ilvl w:val="0"/>
          <w:numId w:val="3"/>
        </w:numPr>
      </w:pPr>
      <w:r>
        <w:t>Operating expenses.  This is where we see the impact of GASB rules that aren’t very helpful for us.  We did not spend $62M on Instruction.  A better number is $52M, shown at the top of page 12.</w:t>
      </w:r>
    </w:p>
    <w:p w14:paraId="3977E9E7" w14:textId="01626041" w:rsidR="00723F81" w:rsidRDefault="00723F81" w:rsidP="00723F81">
      <w:pPr>
        <w:pStyle w:val="ListParagraph"/>
        <w:numPr>
          <w:ilvl w:val="0"/>
          <w:numId w:val="3"/>
        </w:numPr>
      </w:pPr>
      <w:r>
        <w:t>For Year-to-Year comparison, see page 70</w:t>
      </w:r>
    </w:p>
    <w:p w14:paraId="278E52FB" w14:textId="444CE417" w:rsidR="00723F81" w:rsidRDefault="00723F81" w:rsidP="00723F81">
      <w:pPr>
        <w:spacing w:after="0"/>
        <w:rPr>
          <w:u w:val="single"/>
        </w:rPr>
      </w:pPr>
      <w:r>
        <w:rPr>
          <w:u w:val="single"/>
        </w:rPr>
        <w:t>Statement of Cash Flows</w:t>
      </w:r>
    </w:p>
    <w:p w14:paraId="200465F5" w14:textId="77D29614" w:rsidR="00723F81" w:rsidRPr="00723F81" w:rsidRDefault="00723F81" w:rsidP="00723F81">
      <w:pPr>
        <w:rPr>
          <w:b/>
          <w:bCs/>
        </w:rPr>
      </w:pPr>
      <w:r>
        <w:rPr>
          <w:b/>
          <w:bCs/>
        </w:rPr>
        <w:t>Statement of Cash Flows shows how cash received can be different from revenue and cash disbursed can be different from expenses</w:t>
      </w:r>
    </w:p>
    <w:p w14:paraId="1B1853B1" w14:textId="77777777" w:rsidR="00723F81" w:rsidRDefault="00723F81" w:rsidP="00501348">
      <w:pPr>
        <w:pStyle w:val="Subtitle"/>
        <w:rPr>
          <w:rStyle w:val="Strong"/>
        </w:rPr>
      </w:pPr>
    </w:p>
    <w:p w14:paraId="6B7E796C" w14:textId="36133D02" w:rsidR="00972C39" w:rsidRPr="00136743" w:rsidRDefault="00972C39" w:rsidP="00475BAC">
      <w:pPr>
        <w:pStyle w:val="Heading2"/>
        <w:rPr>
          <w:rStyle w:val="Strong"/>
        </w:rPr>
      </w:pPr>
      <w:r w:rsidRPr="00136743">
        <w:rPr>
          <w:rStyle w:val="Strong"/>
        </w:rPr>
        <w:t>Schedules of Revenue, Expenditures and Changes in Fund Balance, for each Fund – pages 59-67</w:t>
      </w:r>
    </w:p>
    <w:p w14:paraId="4E0577CC" w14:textId="77777777" w:rsidR="00501348" w:rsidRDefault="00501348" w:rsidP="00962A66">
      <w:pPr>
        <w:spacing w:after="0"/>
      </w:pPr>
      <w:r>
        <w:t xml:space="preserve">Governed by Oregon Budget Authority.  </w:t>
      </w:r>
    </w:p>
    <w:p w14:paraId="7E02D5D3" w14:textId="3A7968BD" w:rsidR="0091429A" w:rsidRDefault="00501348" w:rsidP="0091429A">
      <w:r>
        <w:t>OBA’s Purpose: verify that we did not exceed our budgeted Expenditures approved by our Board.</w:t>
      </w:r>
    </w:p>
    <w:p w14:paraId="338927BC" w14:textId="4BCFCA01" w:rsidR="006621B4" w:rsidRDefault="006621B4" w:rsidP="0091429A">
      <w:r>
        <w:lastRenderedPageBreak/>
        <w:t xml:space="preserve">These reports are a straightforward </w:t>
      </w:r>
      <w:r w:rsidR="002F1B17">
        <w:t>presentation</w:t>
      </w:r>
      <w:r>
        <w:t xml:space="preserve"> of what happened at the college during the year.  No adjustments here for reporting purposes (as required in the GASB-compliant reports above.)  These are “the books”.</w:t>
      </w:r>
    </w:p>
    <w:p w14:paraId="0DB60FF4" w14:textId="5D255704" w:rsidR="006621B4" w:rsidRDefault="006621B4" w:rsidP="0091429A">
      <w:r>
        <w:t>9 separate reports by Funding source and Spend restriction.</w:t>
      </w:r>
    </w:p>
    <w:p w14:paraId="0A93652E" w14:textId="32935586" w:rsidR="006621B4" w:rsidRPr="002F1B17" w:rsidRDefault="006621B4" w:rsidP="00475BAC">
      <w:pPr>
        <w:pStyle w:val="Heading3"/>
      </w:pPr>
      <w:r w:rsidRPr="002F1B17">
        <w:t>General Fund – Schedule 1</w:t>
      </w:r>
    </w:p>
    <w:p w14:paraId="43CB57D6" w14:textId="494760AD" w:rsidR="006621B4" w:rsidRDefault="006621B4" w:rsidP="006621B4">
      <w:pPr>
        <w:pStyle w:val="ListParagraph"/>
        <w:numPr>
          <w:ilvl w:val="0"/>
          <w:numId w:val="4"/>
        </w:numPr>
      </w:pPr>
      <w:r>
        <w:t xml:space="preserve">Revenues &gt; Expenditures in FY25 by $1.1M </w:t>
      </w:r>
      <w:r w:rsidR="00491BA9" w:rsidRPr="00491BA9">
        <w:rPr>
          <w:color w:val="4EA72E" w:themeColor="accent6"/>
        </w:rPr>
        <w:sym w:font="Wingdings" w:char="F04A"/>
      </w:r>
    </w:p>
    <w:p w14:paraId="5E2D3027" w14:textId="1551D6B0" w:rsidR="006621B4" w:rsidRDefault="006621B4" w:rsidP="006621B4">
      <w:pPr>
        <w:pStyle w:val="ListParagraph"/>
        <w:numPr>
          <w:ilvl w:val="0"/>
          <w:numId w:val="4"/>
        </w:numPr>
      </w:pPr>
      <w:r>
        <w:t>Transferred $1.4M out to other funds</w:t>
      </w:r>
      <w:r w:rsidR="00491BA9">
        <w:t xml:space="preserve"> </w:t>
      </w:r>
      <w:r w:rsidR="00491BA9" w:rsidRPr="00491BA9">
        <w:rPr>
          <w:color w:val="FF0000"/>
        </w:rPr>
        <w:sym w:font="Wingdings" w:char="F04C"/>
      </w:r>
    </w:p>
    <w:p w14:paraId="1AAF9B08" w14:textId="3B2C4194" w:rsidR="00491BA9" w:rsidRDefault="00491BA9" w:rsidP="006621B4">
      <w:pPr>
        <w:pStyle w:val="ListParagraph"/>
        <w:numPr>
          <w:ilvl w:val="0"/>
          <w:numId w:val="4"/>
        </w:numPr>
      </w:pPr>
      <w:r>
        <w:t xml:space="preserve">Net Position = $8M.  Is </w:t>
      </w:r>
      <w:r w:rsidR="00493502">
        <w:t>8% of General Fund revenue.</w:t>
      </w:r>
    </w:p>
    <w:p w14:paraId="4AEE5C9E" w14:textId="2A826A0C" w:rsidR="00493502" w:rsidRDefault="00493502" w:rsidP="00475BAC">
      <w:pPr>
        <w:pStyle w:val="Heading3"/>
      </w:pPr>
      <w:r w:rsidRPr="005D500D">
        <w:t>Administratively Restricted Fund – Schedule 2</w:t>
      </w:r>
    </w:p>
    <w:p w14:paraId="6BD077F8" w14:textId="255D79E1" w:rsidR="00395531" w:rsidRPr="00395531" w:rsidRDefault="00395531" w:rsidP="00395531">
      <w:pPr>
        <w:pStyle w:val="ListParagraph"/>
        <w:numPr>
          <w:ilvl w:val="0"/>
          <w:numId w:val="10"/>
        </w:numPr>
      </w:pPr>
      <w:r>
        <w:t xml:space="preserve">“Fund 9” </w:t>
      </w:r>
      <w:r w:rsidR="00E96D92">
        <w:t>–</w:t>
      </w:r>
      <w:r>
        <w:t xml:space="preserve"> </w:t>
      </w:r>
      <w:r w:rsidR="00E96D92">
        <w:t>LTD transportation; Student Government &amp; clubs; Child Care center; Aviation; KLCC; Student Technology Fees; International program</w:t>
      </w:r>
    </w:p>
    <w:p w14:paraId="59F446BC" w14:textId="271805D2" w:rsidR="00493502" w:rsidRDefault="00493502" w:rsidP="00475BAC">
      <w:pPr>
        <w:pStyle w:val="Heading3"/>
      </w:pPr>
      <w:r w:rsidRPr="005D500D">
        <w:t>Special Revenue Fund – Schedule 3</w:t>
      </w:r>
    </w:p>
    <w:p w14:paraId="09D3D59F" w14:textId="4BE72B49" w:rsidR="00395531" w:rsidRDefault="00395531" w:rsidP="00E96D92">
      <w:pPr>
        <w:pStyle w:val="ListParagraph"/>
        <w:numPr>
          <w:ilvl w:val="0"/>
          <w:numId w:val="9"/>
        </w:numPr>
        <w:spacing w:after="0"/>
      </w:pPr>
      <w:r>
        <w:t>Grants</w:t>
      </w:r>
    </w:p>
    <w:p w14:paraId="6111B835" w14:textId="5AFD7FAE" w:rsidR="00E96D92" w:rsidRPr="00395531" w:rsidRDefault="00E96D92" w:rsidP="00395531">
      <w:pPr>
        <w:pStyle w:val="ListParagraph"/>
        <w:numPr>
          <w:ilvl w:val="0"/>
          <w:numId w:val="9"/>
        </w:numPr>
      </w:pPr>
      <w:r>
        <w:t>Overspent allowable budget on Community Services &amp; Student Services</w:t>
      </w:r>
    </w:p>
    <w:p w14:paraId="33D3BDF8" w14:textId="752AD693" w:rsidR="00493502" w:rsidRDefault="00493502" w:rsidP="00475BAC">
      <w:pPr>
        <w:pStyle w:val="Heading3"/>
      </w:pPr>
      <w:r w:rsidRPr="005D500D">
        <w:t>Student Financial Aid Fund – Schedule 4</w:t>
      </w:r>
    </w:p>
    <w:p w14:paraId="53AB92A2" w14:textId="2359517A" w:rsidR="00395531" w:rsidRPr="00395531" w:rsidRDefault="00395531" w:rsidP="00395531">
      <w:pPr>
        <w:pStyle w:val="ListParagraph"/>
        <w:numPr>
          <w:ilvl w:val="0"/>
          <w:numId w:val="8"/>
        </w:numPr>
      </w:pPr>
      <w:r>
        <w:t>Pell, Perkins, All Scholarship, VA Benefits, Loans, FSEOG, Oregon Opportunity Grant, Oregon Promise Grant</w:t>
      </w:r>
    </w:p>
    <w:p w14:paraId="704E76A9" w14:textId="1AA5B115" w:rsidR="00493502" w:rsidRDefault="00493502" w:rsidP="00475BAC">
      <w:pPr>
        <w:pStyle w:val="Heading3"/>
      </w:pPr>
      <w:r w:rsidRPr="005D500D">
        <w:t>Debt Service Fund – Schedule 5</w:t>
      </w:r>
      <w:r w:rsidR="00D96646">
        <w:tab/>
      </w:r>
    </w:p>
    <w:p w14:paraId="1BA7CAA2" w14:textId="250C0565" w:rsidR="00D96646" w:rsidRPr="00D96646" w:rsidRDefault="00D96646" w:rsidP="00D96646">
      <w:pPr>
        <w:pStyle w:val="ListParagraph"/>
        <w:numPr>
          <w:ilvl w:val="0"/>
          <w:numId w:val="7"/>
        </w:numPr>
        <w:tabs>
          <w:tab w:val="left" w:pos="3660"/>
        </w:tabs>
      </w:pPr>
      <w:r>
        <w:t>Paying bond principal and interest; Property tax collected to pay bonds</w:t>
      </w:r>
    </w:p>
    <w:p w14:paraId="288775D4" w14:textId="285560C7" w:rsidR="00493502" w:rsidRDefault="00493502" w:rsidP="00475BAC">
      <w:pPr>
        <w:pStyle w:val="Heading3"/>
      </w:pPr>
      <w:r w:rsidRPr="005D500D">
        <w:t>Capital Projects Fund – Schedule 6</w:t>
      </w:r>
    </w:p>
    <w:p w14:paraId="4B3F5E50" w14:textId="759BF4B1" w:rsidR="00D96646" w:rsidRPr="00D96646" w:rsidRDefault="00D96646" w:rsidP="00D96646">
      <w:pPr>
        <w:pStyle w:val="ListParagraph"/>
        <w:numPr>
          <w:ilvl w:val="0"/>
          <w:numId w:val="7"/>
        </w:numPr>
      </w:pPr>
      <w:r>
        <w:t>Constructing buildings; Developing campus facilities – whether bond funded or not</w:t>
      </w:r>
    </w:p>
    <w:p w14:paraId="1FD7FEFC" w14:textId="6C319DA6" w:rsidR="00493502" w:rsidRDefault="00493502" w:rsidP="00475BAC">
      <w:pPr>
        <w:pStyle w:val="Heading3"/>
      </w:pPr>
      <w:r w:rsidRPr="005D500D">
        <w:t>Enterprise Fund – Schedule 7</w:t>
      </w:r>
    </w:p>
    <w:p w14:paraId="3134596B" w14:textId="0CCB6DFC" w:rsidR="00395531" w:rsidRDefault="00395531" w:rsidP="00395531">
      <w:pPr>
        <w:pStyle w:val="ListParagraph"/>
        <w:numPr>
          <w:ilvl w:val="0"/>
          <w:numId w:val="7"/>
        </w:numPr>
      </w:pPr>
      <w:r>
        <w:t>Titan Court housing</w:t>
      </w:r>
    </w:p>
    <w:p w14:paraId="74E11442" w14:textId="14E7690A" w:rsidR="00723F81" w:rsidRPr="00395531" w:rsidRDefault="00723F81" w:rsidP="00395531">
      <w:pPr>
        <w:pStyle w:val="ListParagraph"/>
        <w:numPr>
          <w:ilvl w:val="0"/>
          <w:numId w:val="7"/>
        </w:numPr>
      </w:pPr>
      <w:r>
        <w:t>Overspent allowable budget on Student Services &amp; Plant operations</w:t>
      </w:r>
    </w:p>
    <w:p w14:paraId="4B37120C" w14:textId="7A146F31" w:rsidR="00493502" w:rsidRDefault="00493502" w:rsidP="00475BAC">
      <w:pPr>
        <w:pStyle w:val="Heading3"/>
      </w:pPr>
      <w:r w:rsidRPr="005D500D">
        <w:t>Internal Service Fund – Schedule 8</w:t>
      </w:r>
    </w:p>
    <w:p w14:paraId="74E3ADB3" w14:textId="5F2B493E" w:rsidR="00D96646" w:rsidRPr="00D96646" w:rsidRDefault="00D96646" w:rsidP="00D96646">
      <w:pPr>
        <w:pStyle w:val="ListParagraph"/>
        <w:numPr>
          <w:ilvl w:val="0"/>
          <w:numId w:val="6"/>
        </w:numPr>
      </w:pPr>
      <w:r>
        <w:t>Printing and Graphics; Motor pool; Green Team</w:t>
      </w:r>
    </w:p>
    <w:p w14:paraId="3742B9E7" w14:textId="277F608D" w:rsidR="00493502" w:rsidRDefault="00493502" w:rsidP="00475BAC">
      <w:pPr>
        <w:pStyle w:val="Heading3"/>
      </w:pPr>
      <w:r w:rsidRPr="005D500D">
        <w:t>Early Retirement Fund – Schedule 9</w:t>
      </w:r>
    </w:p>
    <w:p w14:paraId="4250BFAF" w14:textId="73E5E9F4" w:rsidR="005D500D" w:rsidRDefault="005D500D" w:rsidP="005D500D">
      <w:pPr>
        <w:pStyle w:val="ListParagraph"/>
        <w:numPr>
          <w:ilvl w:val="0"/>
          <w:numId w:val="5"/>
        </w:numPr>
      </w:pPr>
      <w:r w:rsidRPr="005D500D">
        <w:t>Special program whereby certain staff can retire before qualifying for full retirement benefits and receive some benefit from LCC that is not obligated by PERS</w:t>
      </w:r>
    </w:p>
    <w:p w14:paraId="5FB91743" w14:textId="77777777" w:rsidR="00695567" w:rsidRDefault="00695567" w:rsidP="00695567">
      <w:r>
        <w:br w:type="page"/>
      </w:r>
    </w:p>
    <w:p w14:paraId="50C10B6A" w14:textId="7A00C44F" w:rsidR="00695567" w:rsidRDefault="00695567" w:rsidP="00695567">
      <w:r>
        <w:lastRenderedPageBreak/>
        <w:t>The budget basis schedules help explain the Basic Schedule of Revenues, Expenses and changes in Fund Balance, though they will not sum to the statement on page 20 because of above mentioned, required adjustment.</w:t>
      </w:r>
    </w:p>
    <w:p w14:paraId="3AD6CB33" w14:textId="6C11F20C" w:rsidR="00695567" w:rsidRDefault="00695567" w:rsidP="00695567">
      <w:r>
        <w:t>The financial package does not include a budget basis information similar to the Statement of Net Position found on page 18.  I’ve drafted that below.  Just like the Schedules of Revenues, Expenses and changes in Fund Balance don’t add up to the official “Basic” statements, the fund level Assets and Liabilities will differ from the Basic Statement of Net Position.</w:t>
      </w:r>
    </w:p>
    <w:p w14:paraId="5BEB3830" w14:textId="64367BA7" w:rsidR="00695567" w:rsidRDefault="00695567" w:rsidP="00695567"/>
    <w:p w14:paraId="021A8F51" w14:textId="77777777" w:rsidR="00090DBC" w:rsidRPr="005D500D" w:rsidRDefault="00090DBC" w:rsidP="00695567"/>
    <w:sectPr w:rsidR="00090DBC" w:rsidRPr="005D5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7FCF"/>
    <w:multiLevelType w:val="hybridMultilevel"/>
    <w:tmpl w:val="899C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72600"/>
    <w:multiLevelType w:val="hybridMultilevel"/>
    <w:tmpl w:val="043E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E049A"/>
    <w:multiLevelType w:val="hybridMultilevel"/>
    <w:tmpl w:val="5BA8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D35CA"/>
    <w:multiLevelType w:val="hybridMultilevel"/>
    <w:tmpl w:val="D5A0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524D7"/>
    <w:multiLevelType w:val="hybridMultilevel"/>
    <w:tmpl w:val="94F0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57F7E"/>
    <w:multiLevelType w:val="hybridMultilevel"/>
    <w:tmpl w:val="AB40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0256F"/>
    <w:multiLevelType w:val="hybridMultilevel"/>
    <w:tmpl w:val="7D24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E2F58"/>
    <w:multiLevelType w:val="hybridMultilevel"/>
    <w:tmpl w:val="D9EE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C7A7C"/>
    <w:multiLevelType w:val="hybridMultilevel"/>
    <w:tmpl w:val="6BA8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818EA"/>
    <w:multiLevelType w:val="hybridMultilevel"/>
    <w:tmpl w:val="1AB4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355024">
    <w:abstractNumId w:val="3"/>
  </w:num>
  <w:num w:numId="2" w16cid:durableId="1610118980">
    <w:abstractNumId w:val="6"/>
  </w:num>
  <w:num w:numId="3" w16cid:durableId="207378528">
    <w:abstractNumId w:val="0"/>
  </w:num>
  <w:num w:numId="4" w16cid:durableId="22440158">
    <w:abstractNumId w:val="7"/>
  </w:num>
  <w:num w:numId="5" w16cid:durableId="155193438">
    <w:abstractNumId w:val="1"/>
  </w:num>
  <w:num w:numId="6" w16cid:durableId="856431869">
    <w:abstractNumId w:val="8"/>
  </w:num>
  <w:num w:numId="7" w16cid:durableId="1539079160">
    <w:abstractNumId w:val="4"/>
  </w:num>
  <w:num w:numId="8" w16cid:durableId="480654079">
    <w:abstractNumId w:val="2"/>
  </w:num>
  <w:num w:numId="9" w16cid:durableId="1862161533">
    <w:abstractNumId w:val="9"/>
  </w:num>
  <w:num w:numId="10" w16cid:durableId="1814565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9A"/>
    <w:rsid w:val="00050CFE"/>
    <w:rsid w:val="000735FC"/>
    <w:rsid w:val="00090DBC"/>
    <w:rsid w:val="00136743"/>
    <w:rsid w:val="00153E66"/>
    <w:rsid w:val="00176FD6"/>
    <w:rsid w:val="00182299"/>
    <w:rsid w:val="001E3630"/>
    <w:rsid w:val="002165F2"/>
    <w:rsid w:val="0022309C"/>
    <w:rsid w:val="002307CF"/>
    <w:rsid w:val="002E0D0B"/>
    <w:rsid w:val="002F1B17"/>
    <w:rsid w:val="003260FD"/>
    <w:rsid w:val="0033744D"/>
    <w:rsid w:val="0034424F"/>
    <w:rsid w:val="00360B8A"/>
    <w:rsid w:val="00376181"/>
    <w:rsid w:val="00395531"/>
    <w:rsid w:val="004153E2"/>
    <w:rsid w:val="00475BAC"/>
    <w:rsid w:val="00491BA9"/>
    <w:rsid w:val="00493502"/>
    <w:rsid w:val="00501348"/>
    <w:rsid w:val="005C5255"/>
    <w:rsid w:val="005D500D"/>
    <w:rsid w:val="006621B4"/>
    <w:rsid w:val="00695567"/>
    <w:rsid w:val="00723F81"/>
    <w:rsid w:val="00842D3E"/>
    <w:rsid w:val="008526A3"/>
    <w:rsid w:val="00896591"/>
    <w:rsid w:val="00904F0A"/>
    <w:rsid w:val="0091429A"/>
    <w:rsid w:val="009504D2"/>
    <w:rsid w:val="00962A66"/>
    <w:rsid w:val="00971299"/>
    <w:rsid w:val="00972C39"/>
    <w:rsid w:val="00A07245"/>
    <w:rsid w:val="00A80BCC"/>
    <w:rsid w:val="00AE3138"/>
    <w:rsid w:val="00AF6800"/>
    <w:rsid w:val="00B529DA"/>
    <w:rsid w:val="00B648F8"/>
    <w:rsid w:val="00B837AA"/>
    <w:rsid w:val="00BB36DA"/>
    <w:rsid w:val="00BD0D9B"/>
    <w:rsid w:val="00BD6E20"/>
    <w:rsid w:val="00C0693D"/>
    <w:rsid w:val="00C42FDB"/>
    <w:rsid w:val="00CA72EC"/>
    <w:rsid w:val="00D55B57"/>
    <w:rsid w:val="00D96646"/>
    <w:rsid w:val="00E04C09"/>
    <w:rsid w:val="00E8046F"/>
    <w:rsid w:val="00E81B7C"/>
    <w:rsid w:val="00E96D92"/>
    <w:rsid w:val="00EA7F2F"/>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CFE0"/>
  <w15:chartTrackingRefBased/>
  <w15:docId w15:val="{56B5515B-2E85-4700-B4C2-F902A657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4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A">
    <w:name w:val="TOC A"/>
    <w:basedOn w:val="TOC1"/>
    <w:link w:val="TOCAChar"/>
    <w:uiPriority w:val="99"/>
    <w:qFormat/>
    <w:rsid w:val="00A07245"/>
    <w:pPr>
      <w:tabs>
        <w:tab w:val="right" w:pos="9180"/>
      </w:tabs>
      <w:spacing w:before="120" w:after="240" w:line="276" w:lineRule="auto"/>
      <w:ind w:left="360" w:right="1080" w:hanging="360"/>
      <w:jc w:val="center"/>
    </w:pPr>
    <w:rPr>
      <w:b/>
      <w:bCs/>
      <w:noProof/>
      <w:sz w:val="24"/>
    </w:rPr>
  </w:style>
  <w:style w:type="character" w:customStyle="1" w:styleId="TOCAChar">
    <w:name w:val="TOC A Char"/>
    <w:basedOn w:val="DefaultParagraphFont"/>
    <w:link w:val="TOCA"/>
    <w:uiPriority w:val="99"/>
    <w:rsid w:val="00A07245"/>
    <w:rPr>
      <w:b/>
      <w:bCs/>
      <w:noProof/>
      <w:sz w:val="24"/>
    </w:rPr>
  </w:style>
  <w:style w:type="paragraph" w:styleId="TOC1">
    <w:name w:val="toc 1"/>
    <w:basedOn w:val="Normal"/>
    <w:next w:val="Normal"/>
    <w:autoRedefine/>
    <w:uiPriority w:val="39"/>
    <w:semiHidden/>
    <w:unhideWhenUsed/>
    <w:rsid w:val="00A07245"/>
    <w:pPr>
      <w:spacing w:after="100"/>
    </w:pPr>
  </w:style>
  <w:style w:type="character" w:customStyle="1" w:styleId="Heading1Char">
    <w:name w:val="Heading 1 Char"/>
    <w:basedOn w:val="DefaultParagraphFont"/>
    <w:link w:val="Heading1"/>
    <w:uiPriority w:val="9"/>
    <w:rsid w:val="00914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4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4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29A"/>
    <w:rPr>
      <w:rFonts w:eastAsiaTheme="majorEastAsia" w:cstheme="majorBidi"/>
      <w:color w:val="272727" w:themeColor="text1" w:themeTint="D8"/>
    </w:rPr>
  </w:style>
  <w:style w:type="paragraph" w:styleId="Title">
    <w:name w:val="Title"/>
    <w:basedOn w:val="Normal"/>
    <w:next w:val="Normal"/>
    <w:link w:val="TitleChar"/>
    <w:uiPriority w:val="10"/>
    <w:qFormat/>
    <w:rsid w:val="00914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29A"/>
    <w:pPr>
      <w:spacing w:before="160"/>
      <w:jc w:val="center"/>
    </w:pPr>
    <w:rPr>
      <w:i/>
      <w:iCs/>
      <w:color w:val="404040" w:themeColor="text1" w:themeTint="BF"/>
    </w:rPr>
  </w:style>
  <w:style w:type="character" w:customStyle="1" w:styleId="QuoteChar">
    <w:name w:val="Quote Char"/>
    <w:basedOn w:val="DefaultParagraphFont"/>
    <w:link w:val="Quote"/>
    <w:uiPriority w:val="29"/>
    <w:rsid w:val="0091429A"/>
    <w:rPr>
      <w:i/>
      <w:iCs/>
      <w:color w:val="404040" w:themeColor="text1" w:themeTint="BF"/>
    </w:rPr>
  </w:style>
  <w:style w:type="paragraph" w:styleId="ListParagraph">
    <w:name w:val="List Paragraph"/>
    <w:basedOn w:val="Normal"/>
    <w:uiPriority w:val="34"/>
    <w:qFormat/>
    <w:rsid w:val="0091429A"/>
    <w:pPr>
      <w:ind w:left="720"/>
      <w:contextualSpacing/>
    </w:pPr>
  </w:style>
  <w:style w:type="character" w:styleId="IntenseEmphasis">
    <w:name w:val="Intense Emphasis"/>
    <w:basedOn w:val="DefaultParagraphFont"/>
    <w:uiPriority w:val="21"/>
    <w:qFormat/>
    <w:rsid w:val="0091429A"/>
    <w:rPr>
      <w:i/>
      <w:iCs/>
      <w:color w:val="0F4761" w:themeColor="accent1" w:themeShade="BF"/>
    </w:rPr>
  </w:style>
  <w:style w:type="paragraph" w:styleId="IntenseQuote">
    <w:name w:val="Intense Quote"/>
    <w:basedOn w:val="Normal"/>
    <w:next w:val="Normal"/>
    <w:link w:val="IntenseQuoteChar"/>
    <w:uiPriority w:val="30"/>
    <w:qFormat/>
    <w:rsid w:val="00914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29A"/>
    <w:rPr>
      <w:i/>
      <w:iCs/>
      <w:color w:val="0F4761" w:themeColor="accent1" w:themeShade="BF"/>
    </w:rPr>
  </w:style>
  <w:style w:type="character" w:styleId="IntenseReference">
    <w:name w:val="Intense Reference"/>
    <w:basedOn w:val="DefaultParagraphFont"/>
    <w:uiPriority w:val="32"/>
    <w:qFormat/>
    <w:rsid w:val="0091429A"/>
    <w:rPr>
      <w:b/>
      <w:bCs/>
      <w:smallCaps/>
      <w:color w:val="0F4761" w:themeColor="accent1" w:themeShade="BF"/>
      <w:spacing w:val="5"/>
    </w:rPr>
  </w:style>
  <w:style w:type="character" w:styleId="Hyperlink">
    <w:name w:val="Hyperlink"/>
    <w:basedOn w:val="DefaultParagraphFont"/>
    <w:uiPriority w:val="99"/>
    <w:unhideWhenUsed/>
    <w:rsid w:val="00C42FDB"/>
    <w:rPr>
      <w:color w:val="467886" w:themeColor="hyperlink"/>
      <w:u w:val="single"/>
    </w:rPr>
  </w:style>
  <w:style w:type="character" w:styleId="UnresolvedMention">
    <w:name w:val="Unresolved Mention"/>
    <w:basedOn w:val="DefaultParagraphFont"/>
    <w:uiPriority w:val="99"/>
    <w:semiHidden/>
    <w:unhideWhenUsed/>
    <w:rsid w:val="00C42FDB"/>
    <w:rPr>
      <w:color w:val="605E5C"/>
      <w:shd w:val="clear" w:color="auto" w:fill="E1DFDD"/>
    </w:rPr>
  </w:style>
  <w:style w:type="character" w:styleId="Strong">
    <w:name w:val="Strong"/>
    <w:basedOn w:val="DefaultParagraphFont"/>
    <w:uiPriority w:val="22"/>
    <w:qFormat/>
    <w:rsid w:val="00136743"/>
    <w:rPr>
      <w:b/>
      <w:bCs/>
    </w:rPr>
  </w:style>
  <w:style w:type="table" w:styleId="TableGrid">
    <w:name w:val="Table Grid"/>
    <w:basedOn w:val="TableNormal"/>
    <w:uiPriority w:val="39"/>
    <w:rsid w:val="00090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0420">
      <w:bodyDiv w:val="1"/>
      <w:marLeft w:val="0"/>
      <w:marRight w:val="0"/>
      <w:marTop w:val="0"/>
      <w:marBottom w:val="0"/>
      <w:divBdr>
        <w:top w:val="none" w:sz="0" w:space="0" w:color="auto"/>
        <w:left w:val="none" w:sz="0" w:space="0" w:color="auto"/>
        <w:bottom w:val="none" w:sz="0" w:space="0" w:color="auto"/>
        <w:right w:val="none" w:sz="0" w:space="0" w:color="auto"/>
      </w:divBdr>
    </w:div>
    <w:div w:id="238830013">
      <w:bodyDiv w:val="1"/>
      <w:marLeft w:val="0"/>
      <w:marRight w:val="0"/>
      <w:marTop w:val="0"/>
      <w:marBottom w:val="0"/>
      <w:divBdr>
        <w:top w:val="none" w:sz="0" w:space="0" w:color="auto"/>
        <w:left w:val="none" w:sz="0" w:space="0" w:color="auto"/>
        <w:bottom w:val="none" w:sz="0" w:space="0" w:color="auto"/>
        <w:right w:val="none" w:sz="0" w:space="0" w:color="auto"/>
      </w:divBdr>
    </w:div>
    <w:div w:id="443621559">
      <w:bodyDiv w:val="1"/>
      <w:marLeft w:val="0"/>
      <w:marRight w:val="0"/>
      <w:marTop w:val="0"/>
      <w:marBottom w:val="0"/>
      <w:divBdr>
        <w:top w:val="none" w:sz="0" w:space="0" w:color="auto"/>
        <w:left w:val="none" w:sz="0" w:space="0" w:color="auto"/>
        <w:bottom w:val="none" w:sz="0" w:space="0" w:color="auto"/>
        <w:right w:val="none" w:sz="0" w:space="0" w:color="auto"/>
      </w:divBdr>
    </w:div>
    <w:div w:id="1348828289">
      <w:bodyDiv w:val="1"/>
      <w:marLeft w:val="0"/>
      <w:marRight w:val="0"/>
      <w:marTop w:val="0"/>
      <w:marBottom w:val="0"/>
      <w:divBdr>
        <w:top w:val="none" w:sz="0" w:space="0" w:color="auto"/>
        <w:left w:val="none" w:sz="0" w:space="0" w:color="auto"/>
        <w:bottom w:val="none" w:sz="0" w:space="0" w:color="auto"/>
        <w:right w:val="none" w:sz="0" w:space="0" w:color="auto"/>
      </w:divBdr>
    </w:div>
    <w:div w:id="17185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Lane Community College</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McGowan</dc:creator>
  <cp:keywords/>
  <dc:description/>
  <cp:lastModifiedBy>Liam Alderson</cp:lastModifiedBy>
  <cp:revision>4</cp:revision>
  <dcterms:created xsi:type="dcterms:W3CDTF">2026-01-15T20:19:00Z</dcterms:created>
  <dcterms:modified xsi:type="dcterms:W3CDTF">2026-01-15T21:30:00Z</dcterms:modified>
</cp:coreProperties>
</file>